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FUTU</w:t>
      </w:r>
      <w:r>
        <w:rPr>
          <w:rFonts w:ascii="Calibri" w:hAnsi="Calibri"/>
          <w:b/>
          <w:color w:val="1A2010"/>
          <w:sz w:val="40"/>
        </w:rPr>
        <w:t xml:space="preserve">  Futu Holdings Limited</w:t>
      </w:r>
    </w:p>
    <w:p>
      <w:pPr>
        <w:spacing w:after="120"/>
      </w:pPr>
      <w:r>
        <w:rPr>
          <w:rFonts w:ascii="Calibri" w:hAnsi="Calibri"/>
          <w:b/>
          <w:color w:val="6E8450"/>
          <w:sz w:val="18"/>
        </w:rPr>
        <w:t>GROWTH SLEEVE · 2026-07-27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Online Brokerage · NASDAQ · Hong Kong</w:t>
      </w:r>
    </w:p>
    <w:p>
      <w:pPr>
        <w:spacing w:after="80"/>
      </w:pPr>
      <w:r>
        <w:rPr>
          <w:rFonts w:ascii="Calibri" w:hAnsi="Calibri"/>
          <w:b w:val="0"/>
          <w:color w:val="3A4A28"/>
          <w:sz w:val="20"/>
        </w:rPr>
        <w:t>Futu Holdings Limited operates moomoo and Futubull, leading digital brokerage platforms serving over 3.59 million funded accounts across Hong Kong, Singapore, the United States, Japan, Malaysia, Australia, and Canada. The platform offers commission-free trading, wealth management, and AI-powered investment tools across stocks, options, ETFs, and other securities, with HK$1.22 trillion in total client assets. Faced a RMB 1.85 billion ($271M) CSRC penalty in May 2026 for unlicensed mainland China operations. Founded in 2012 by former Tencent executive Leaf Hua Li, headquartered in Hong Kong.</w:t>
      </w:r>
    </w:p>
    <w:p>
      <w:r>
        <w:rPr>
          <w:rFonts w:ascii="Calibri" w:hAnsi="Calibri"/>
          <w:b/>
          <w:color w:val="6E8450"/>
          <w:sz w:val="18"/>
        </w:rPr>
        <w:t>3,800 Employees · https://www.futuholdings.com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Futu has transformed from a Hong Kong-only brokerage startup to a global fintech platform operating across seven markets with 3.59 million funded accounts (up 34.3% YoY) and HK$1.22 trillion in client assets (up 47.2% YoY) [1][5]. The geographic expansion from Hong Kong into Singapore, US, Japan, Malaysia, Australia, and Canada represents successful market pivots. Revenue grew 76.14% in 2025 to approximately $2.7B, demonstrating hypergrowth execution. AI Deployment (1/2): Futu launched Futubull AI with DeepSeek integration, including AI-powered Insights page for personalized investment recommendations, Option Strategy Builder, and Algo Trading features [3]. These are shipping products, though quantified AI-specific revenue gains have not been reported. Market Share (2/2): Futu is the dominant retail brokerage platform in Hong Kong and a leading online broker in Singapore, with the fastest account growth rate among digital brokerages globally. 34.3% YoY funded account growth and 47.2% client asset growth demonstrate accelerating market share gains [1]. Product Pipeline (1/2): Continued global market expansion, AI feature rollout (DeepSeek integration), and platform upgrades provide clear near-term growth visibility [3]. R&amp;D Intensity (1/1): As a Tencent-DNA technology company, Futu invests heavily in engineering talent and platform development relative to traditional brokerage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Futu's stated purpose of reshaping finance through technology, making investing accessible to retail investors globally, is a clear and differentiated mission that drives product decisions and geographic expansion [3]. Founder Li Hua left a senior Tencent position to democratize investing — the origin story connects the mission to genuine personal conviction. However, the company is only 14 years old and hasn't faced the kind of sustained adversity that validates a mission. Community Impact (0/2): No evidence of significant charitable programs or community investment identified. The company's community impact is primarily through democratizing investment access. Employee Retention (0/2): No specific retention data or employee satisfaction metrics publicly available. The Tencent-DNA tech culture likely attracts engineering talent, but no evidence was found. Insider Buying (0/2): Founder/CEO Li Hua is presumably a significant shareholder, but no data on recent insider buying or selling was identified in the search period. The personal CSRC fine of RMB 1.25M suggests ongoing operational involvement but does not constitute insider buying evidence.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Futu's financial profile is exceptionally strong across all measured dimensions: D/E of 37% with $17.84B in cash against $1.75B in debt provides fortress-like balance sheet protection [4]. ROE of 30.06% reflects highly efficient capital allocation. Q1 2026 revenue of HK$5.86B grew 24.7% YoY despite the CSRC penalty overhang [1]. TTM profit margin of 53.76% is among the highest of any financial services company globally, reflecting the platform's operating leverage and low marginal cost per user. Forward P/E of 10.23 is remarkably inexpensive for a company growing revenue 25%+ annually with 54% margins [4]. Q1 2026 net income of HK$831M declined 61.2% YoY due to the RMB 1.85B regulatory penalty provision, but excluding this one-time charge, underlying profitability remains world-class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Futu demonstrates meaningful infinite game characteristics: a founder-led company with a clear mission to democratize investing through technology, consistent global expansion despite regulatory setbacks, and investment in AI capabilities for long-term platform differentiation. The company absorbed a $271M CSRC penalty without changing course, demonstrating resilience. However, the company is relatively young (14 years) and hasn't faced the kind of sustained existential threat that truly tests infinite thinking. The rapid global expansion and aggressive growth culture feel more like winning than enduring.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Futu's purpose of reshaping finance through technology to make investing accessible globally is genuine and has been validated by 14 years of consistent execution under founder Li Hua [3]. The mission drove the company from a Hong Kong startup to a global platform across seven markets. Li Hua left a senior Tencent position specifically to pursue this vision. Strategic decisions — mobile-first platform design, commission-free model, global expansion into emerging markets — clearly trace back to the democratization purpose. However, the mission hasn't been tested through a prolonged existential crisis (the CSRC fine was absorbed from a position of financial strength).</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Futu's Tencent-DNA culture emphasizes engineering excellence and rapid iteration, which typically attracts and retains strong technology talent [3]. Founder Li Hua's 14-year tenure provides leadership stability. The company has grown from startup to approximately 3,800 employees while maintaining a technology-first culture. However, no specific data on employee satisfaction, voluntary turnover, or cultural practices was identified. The aggressive growth pace and competitive fintech environment may create execution pressure that works against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Futu competes against Robinhood, Interactive Brokers, Tiger Brokers, and traditional banks, and uses competitive dynamics to continuously improve its platform rather than simply trying to 'beat' rivals [3]. The company's product roadmap (AI features, algo trading, global expansion) responds to competitive pressure by building differentiated capabilities rather than engaging in price wars or zero-sum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Futu pivoted from a HK-centric brokerage to a global multi-market platform, with mainland China now representing only 13% of funded accounts [1][2]. The geographic diversification away from China was a proactive strategic shift that reduced regulatory concentration risk. The company absorbed the $271M CSRC fine as a cost of this transition rather than retreating to its original market. This is meaningful flexibility, though evolutionary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Futu continued aggressive global expansion and AI investment even after the CSRC investigation was disclosed, investing in seven-market operations and DeepSeek AI integration while facing a $271M proposed penalty [1][2][3]. The decision to absorb the fine and continue the globalization strategy rather than retreating to mainland China demonstrates conviction. However, the company's $17.84B cash position and 53.76% margins mean this 'courage' carries limited financial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Futu Holdings is a rare combination of hypergrowth and deep value: Q1 2026 revenue grew 24.7% YoY to HK$5.86B with a 53.76% TTM profit margin, 30.06% ROE, and D/E of just 37% backed by $17.84B in cash [1][4]. At a forward P/E of 10.23, the market prices in minimal growth despite 3.59M funded accounts (up 34.3%), HK$1.22T client assets (up 47.2%), and continued expansion across seven global markets [1]. The $271M CSRC penalty, while headline-grabbing, is a manageable one-time cost against the company's cash position and effectively removes a multi-year regulatory overhang — analysts largely view it as clearing a key risk [2]. Futubull AI with DeepSeek integration positions the platform for the next wave of AI-powered retail investing [3].</w:t>
      </w:r>
    </w:p>
    <w:p>
      <w:pPr>
        <w:spacing w:after="120"/>
      </w:pPr>
      <w:r>
        <w:rPr>
          <w:rFonts w:ascii="Calibri" w:hAnsi="Calibri"/>
          <w:b w:val="0"/>
          <w:color w:val="3A4A28"/>
          <w:sz w:val="20"/>
        </w:rPr>
        <w:t>The primary risk is geopolitical and regulatory: the CSRC penalty confirms that Chinese authorities will enforce licensing requirements against offshore brokerages serving mainland investors, and while mainland China is now only 13% of funded accounts, further regulatory action across other jurisdictions cannot be ruled out [2]. Q1 2026 net income plunged 61.2% YoY to HK$831M, and while the CSRC penalty explains most of the decline, it demonstrates how regulatory risk can materially impact earnings unpredictably. The stock has already declined 51% from its 52-week high of $202.53, reflecting market uncertainty about the regulatory trajectory and US-China tensions. Futu's business model depends on active retail trading, which is inherently cyclical — a market downturn could compress volumes, revenues, and the premium valuation. The recent $2.60 dividend represents a new and unproven capital return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CSRC penalty finalization and resolution could remove the largest regulatory overhang, allowing the stock to rerate toward the analyst consensus target of $155.75 (57% upside from $98.96)</w:t>
      </w:r>
    </w:p>
    <w:p>
      <w:pPr>
        <w:spacing w:before="40" w:after="40"/>
        <w:ind w:left="283"/>
      </w:pPr>
      <w:r>
        <w:rPr>
          <w:rFonts w:ascii="Calibri" w:hAnsi="Calibri"/>
          <w:b/>
          <w:color w:val="4A6B25"/>
          <w:sz w:val="20"/>
        </w:rPr>
        <w:t xml:space="preserve">2. </w:t>
      </w:r>
      <w:r>
        <w:rPr>
          <w:rFonts w:ascii="Calibri" w:hAnsi="Calibri"/>
          <w:b w:val="0"/>
          <w:color w:val="3A4A28"/>
          <w:sz w:val="20"/>
        </w:rPr>
        <w:t>Continued global expansion with 34.3% YoY funded account growth sustaining through 2026 would validate that Futu's growth story extends well beyond Greater China</w:t>
      </w:r>
    </w:p>
    <w:p>
      <w:pPr>
        <w:spacing w:before="40" w:after="40"/>
        <w:ind w:left="283"/>
      </w:pPr>
      <w:r>
        <w:rPr>
          <w:rFonts w:ascii="Calibri" w:hAnsi="Calibri"/>
          <w:b/>
          <w:color w:val="4A6B25"/>
          <w:sz w:val="20"/>
        </w:rPr>
        <w:t xml:space="preserve">3. </w:t>
      </w:r>
      <w:r>
        <w:rPr>
          <w:rFonts w:ascii="Calibri" w:hAnsi="Calibri"/>
          <w:b w:val="0"/>
          <w:color w:val="3A4A28"/>
          <w:sz w:val="20"/>
        </w:rPr>
        <w:t>Futubull AI adoption driving measurable increases in user engagement, trading frequency, and premium feature monetization, demonstrating AI as a revenue catalyst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RMB 1.85B ($271M) CSRC proposed penalty confirms regulatory enforcement risk for cross-border brokerage, and similar actions in other jurisdictions (Singapore, Japan) could create recurring regulatory costs</w:t>
      </w:r>
    </w:p>
    <w:p>
      <w:pPr>
        <w:spacing w:before="40" w:after="40"/>
        <w:ind w:left="283"/>
      </w:pPr>
      <w:r>
        <w:rPr>
          <w:rFonts w:ascii="Calibri" w:hAnsi="Calibri"/>
          <w:b/>
          <w:color w:val="4A6B25"/>
          <w:sz w:val="20"/>
        </w:rPr>
        <w:t xml:space="preserve">2. </w:t>
      </w:r>
      <w:r>
        <w:rPr>
          <w:rFonts w:ascii="Calibri" w:hAnsi="Calibri"/>
          <w:b w:val="0"/>
          <w:color w:val="3A4A28"/>
          <w:sz w:val="20"/>
        </w:rPr>
        <w:t>Q1 2026 net income declined 61.2% to HK$831M due to the penalty, demonstrating how regulatory risk can unpredictably compress earnings even for highly profitable businesses</w:t>
      </w:r>
    </w:p>
    <w:p>
      <w:pPr>
        <w:spacing w:before="40" w:after="40"/>
        <w:ind w:left="283"/>
      </w:pPr>
      <w:r>
        <w:rPr>
          <w:rFonts w:ascii="Calibri" w:hAnsi="Calibri"/>
          <w:b/>
          <w:color w:val="4A6B25"/>
          <w:sz w:val="20"/>
        </w:rPr>
        <w:t xml:space="preserve">3. </w:t>
      </w:r>
      <w:r>
        <w:rPr>
          <w:rFonts w:ascii="Calibri" w:hAnsi="Calibri"/>
          <w:b w:val="0"/>
          <w:color w:val="3A4A28"/>
          <w:sz w:val="20"/>
        </w:rPr>
        <w:t>Business model depends on active retail trading volumes that are inherently cyclical — stock has already fallen 51% from its $202.53 52-week high, and a broader market downturn could further compress volumes and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Futu's regulated brokerage platform requires multi-jurisdictional licensing (SFC in HK, MAS in Singapore, SEC/FINRA in US, FSA in Japan), creating regulatory moats that AI cannot bypass [1]. The custody of HK$1.22T in client assets, settlement infrastructure, and compliance operations require capabilities beyond AI substitution. However, AI-powered trading tools and robo-advisory platforms could compete for the same retail investor demographic that Futu serves. The company's low-cost, technology-first model is more vulnerable to AI competition than relationship-based wealth managers, as AI could replicate automated trading and portfolio analytics features. 3.59M funded accounts and network effects provide defensibility, but the retail brokerage market could face margin compression from AI-native entrants. AI Opportunity (1/1): Futu is actively deploying AI with Futubull AI featuring DeepSeek integration, AI-powered Insights for personalized recommendations, Option Strategy Builder, and Algo Trading [3]. These are shipping features enhancing the platform experience, positioning Futu as an AI-enabled brokerage rather than an AI disruption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Futu Holdings Q1 2026 Financial Results — SEC 6-K Filing, 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CSRC Investigation and $271M Penalty — Finance Magnates, Benzinga, TradingView, May 2026</w:t>
      </w:r>
    </w:p>
    <w:p>
      <w:pPr>
        <w:spacing w:before="20" w:after="20"/>
        <w:ind w:left="170"/>
      </w:pPr>
      <w:r>
        <w:rPr>
          <w:rFonts w:ascii="Calibri" w:hAnsi="Calibri"/>
          <w:b/>
          <w:color w:val="4A6B25"/>
          <w:sz w:val="15"/>
        </w:rPr>
        <w:t xml:space="preserve">3. </w:t>
      </w:r>
      <w:r>
        <w:rPr>
          <w:rFonts w:ascii="Calibri" w:hAnsi="Calibri"/>
          <w:b w:val="0"/>
          <w:color w:val="3A4A28"/>
          <w:sz w:val="17"/>
        </w:rPr>
        <w:t>Futu AI Functions Launch and DeepSeek Integration — Futu Newsroom,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GuruFocus — FUTU Key Statistics and Valuation,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Futu Q4 &amp; Full Year 2025 Results — Futu Newsroom,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