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t>
      </w:r>
      <w:r>
        <w:rPr>
          <w:rFonts w:ascii="Calibri" w:hAnsi="Calibri"/>
          <w:b/>
          <w:color w:val="1A2010"/>
          <w:sz w:val="40"/>
        </w:rPr>
        <w:t xml:space="preserve">  Ford Motor Company</w:t>
      </w:r>
    </w:p>
    <w:p>
      <w:pPr>
        <w:spacing w:after="120"/>
      </w:pPr>
      <w:r>
        <w:rPr>
          <w:rFonts w:ascii="Calibri" w:hAnsi="Calibri"/>
          <w:b/>
          <w:color w:val="6E8450"/>
          <w:sz w:val="18"/>
        </w:rPr>
        <w:t>DIVIDEND SLEEVE · 2026-08-14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United States</w:t>
      </w:r>
    </w:p>
    <w:p>
      <w:pPr>
        <w:spacing w:after="80"/>
      </w:pPr>
      <w:r>
        <w:rPr>
          <w:rFonts w:ascii="Calibri" w:hAnsi="Calibri"/>
          <w:b w:val="0"/>
          <w:color w:val="3A4A28"/>
          <w:sz w:val="20"/>
        </w:rPr>
        <w:t>Ford Motor Company develops, delivers, and services Ford trucks, SUVs, commercial vans, cars, and Lincoln luxury vehicles worldwide. The company operates through Ford Blue (ICE/hybrid), Ford Model e (EVs), Ford Pro (commercial fleet), and Ford Credit (financing) segments. Q1 2026 revenue of $43.3B (+6% YoY) with net income of $2.55B (+441% YoY). Q2 2026 automotive revenue of $44.89B with adjusted EPS of $0.42 beating estimates. Full-year 2026 EBIT guidance raised to $8.5-10.5B. Founded in 1903, headquartered in Dearborn, Michigan.</w:t>
      </w:r>
    </w:p>
    <w:p>
      <w:r>
        <w:rPr>
          <w:rFonts w:ascii="Calibri" w:hAnsi="Calibri"/>
          <w:b/>
          <w:color w:val="6E8450"/>
          <w:sz w:val="18"/>
        </w:rPr>
        <w:t>168,000 Employees · https://www.ford.com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Ford's reorganization into Ford Blue, Model e, and Ford Pro segments was a significant structural transformation, and strong Q1/Q2 2026 results (Q1 net income up 441%, Q2 raised full-year guidance) validate the profitability-first strategy [1]. The F-150 Lightning and Mustang Mach-E established Ford in the EV market, though Model e continues generating deep losses. AI Deployment (1/2): Ford appointed Chief AI and Data Officer Mano Mannoochahr, partnered with Microsoft on a 2026 Industrial AI roadmap, and is demonstrating Level 3 autonomy prototypes. However, the quality inspection AI failure — where Ford replaced inspectors with AI and then had to rehire 350 experienced 'gray beard' specialists to fix quality issues — demonstrates AI deployment is a work in progress [2]. Market Share (2/2): Ford maintains dominant U.S. market positions with F-Series as America's best-selling truck for 48+ consecutive years and Ford Pro as the leading commercial fleet provider, generating industry-leading margins [1]. Product Pipeline (0/2): Ford's product pipeline is in flux — Level 3 autonomy is being demonstrated but has no firm commercial launch date, and the EV product roadmap has been scaled back after multi-billion-dollar Model e losses. No specific next-gen products with firm timelines and revenue visibility. R&amp;D Intensity (1/1): Ford invests approximately $8-9B annually in R&amp;D (~5% of revenue), above the traditional auto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Ford's purpose — helping 'build a better world, where every person is free to move and pursue their dreams' — directly connects to Henry Ford's 1903 vision of democratizing mobility and has been validated by 123 years of making vehicles accessible to the mass market [3]. CEO Farley's stated goal to 'redefine the relationship between people and their vehicles' extends this legacy into the AI and autonomy era. The mission is specific, thoughtful, and distinctively Ford's. Community Impact (1/2): Ford's Sustainable Financing Framework covers clean transportation, clean manufacturing, making lives better, and community revitalization. Ford Fund supports workforce development and disaster relief. U.S. manufacturing operations sustain hundreds of thousands of jobs. However, no standout specific dollar amounts for community investment were identified [4]. Employee Retention (1/2): 168,000 employees with Glassdoor 3.9/5 (76% recommend), but declining ratings and only 58% positive business outlook reflect internal anxiety around the EV transition and tariff uncertainty [3]. CEO Farley has been in role since 2020 (6 years). Insider Buying (2/2): Executive Chair Bill Ford Jr. purchased 140,000 shares at $13.82 ($1.93M) in February 2026, and Director John Thornton also bought shares — meaningful net insider buying by the founding family's leader demonstrates personal conviction in the long-term story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Ford's return to profitability in 2026 significantly improves infrastructure scores versus the prior screen. Forward P/E of 7.86x scores 1.0 (well below 20x target) [6]. ROE of ~13% scores 0.87 — a major improvement from the prior screen's -14.8%. Revenue growth YoY of 6% scores 0.87. Revenue 5yr CAGR of ~7.8% scores 0.85. Payout ratio of 32.56% scores 1.0. Consecutive years paid of 5 (since COVID restart in 2022) scores 0.5 at 2x weight. 5yr dividend growth CAGR of ~10.7% scores 1.0 at 2x weight. The primary drags are D/E of 450% scoring 0 (driven by Ford Credit's captive financing, typical for auto/financial hybrids), profit margin of 3.18% scoring 0.16 (vehicle manufacturing is inherently low-margin), and consecutive years growth of 3 scoring 0.3. Weighted sum 8.05/12 = Infrastructure 7. Liquidity is exceptional: $14.25 x ~55M avg vol = ~$784M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Ford demonstrates a mixed infinite game profile. The company's 123-year history and Henry Ford's legacy of democratizing mobility provide a genuine foundation for a Just Cause, and Executive Chair Bill Ford Jr.'s $1.93M personal share purchase reinforces family commitment. However, the EV strategy has vacillated between aggressive commitment and retreat as Model e losses mounted, the competitive language around trucks and market share is deeply finite ('best-selling truck for 48 years'), and the AI quality inspection failure — where Ford replaced experienced workers with AI and then had to rehire them — reveals organizational culture gaps.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Ford's purpose of democratizing mobility has genuine historical depth — Henry Ford literally invented affordable personal transportation with the Model T, and the mission has endured through 123 years, two World Wars, and multiple industry upheavals [3]. The current commitment to sustainable mobility through EVs and the Microsoft AI partnership extend this legacy. However, Ford often defaults to finite market-share language ('America's best-selling truck') rather than cause-driven positioning, and the Model e retreat under financial pressure suggests the cause yields to pragmatism.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3.9/5.0 with 76% recommendation rate is respectable for a 168,000-employee manufacturer, and Chief People Officer Jennifer Waldo leads culture transformation under Ford+ [2]. However, only 58% have a positive business outlook, the AI quality inspection failure revealed that management replaced experienced workers without adequate knowledge transfer, and the cultural friction between Ford Blue's manufacturing heritage and Model e's software ambitions remains a significant organizational challenge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Ford's competitive language remains overwhelmingly finite — centered on 'best-selling truck for 48 consecutive years,' market share rankings, and beating GM and Toyota in specific segments [1]. The EV strategy was framed as 'catching Tesla' rather than learning from Tesla's vertically integrated manufacturing and direct-sales approach. There is limited evidence of management citing competitors' strengths as motivation for genuine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restructuring into Ford Blue, Model e, and Ford Pro was a significant structural transformation that acknowledged the EV future while protecting the profitable ICE business [1]. Ford's 123-year history includes pivots from Model T mass production to wartime manufacturing to global expansion to trucks/SUVs. However, the continued multi-billion-dollar losses at Model e with scaling back of EV ambitions suggest the current pivot is being executed with one foot in and one foot 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Executive Chair Bill Ford Jr.'s $1.93M share purchase at $13.82 in February 2026 demonstrates personal conviction in the company's direction [5]. The initial $50B EV investment commitment was bold, and raising FY2026 EBIT guidance to $8.5-10.5B after strong Q1/Q2 results shows confidence. However, Ford has scaled back EV production targets as losses mounted, and the AI quality inspection failure — replacing experienced workers with AI and then reversing course — suggests reactive rather than strategic decision-making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Ford's return to profitability and valuation compression make it an increasingly compelling value play. Q1 2026 delivered $43.3B revenue (+6%), $2.55B net income (+441%), and $3.5B adjusted EBIT (tripling YoY). Q2 automotive revenue of $44.89B beat estimates, prompting a guidance raise to $8.5-10.5B EBIT for FY2026 [1]. At $14.25 with a forward P/E of 7.86x and PEG of 0.19, Ford trades at a steep discount to the market while offering a 4.21% dividend yield with a conservative 32.56% payout ratio [6]. Executive Chair Bill Ford Jr.'s $1.93M share purchase at $13.82 signals family conviction [5]. Ford Pro commercial fleet business generates industry-leading margins, F-Series dominates U.S. truck sales, and the Microsoft AI partnership positions Ford's manufacturing operations for cost optimization. The company's 123-year track record of surviving industry upheavals provides resilience most competitors cannot match.</w:t>
      </w:r>
    </w:p>
    <w:p>
      <w:pPr>
        <w:spacing w:after="120"/>
      </w:pPr>
      <w:r>
        <w:rPr>
          <w:rFonts w:ascii="Calibri" w:hAnsi="Calibri"/>
          <w:b w:val="0"/>
          <w:color w:val="3A4A28"/>
          <w:sz w:val="20"/>
        </w:rPr>
        <w:t>The bear case centers on structural profitability challenges and the unresolved EV transition. Model e continues generating multi-billion-dollar annual losses with no clear timeline to profitability, dragging group margins despite Ford Blue's strength [1]. Profit margin of 3.18% is extremely thin for a company with $185B in TTM revenue and 450% D/E (including Ford Credit leverage), leaving minimal buffer in a recession. The dividend was cut in both 2008 and 2020, and while the current 32.56% payout ratio is conservative, Ford's adjusted free cash flow guidance of $5-6B barely covers the ~$2.4B annual dividend obligation if capital needs accelerate [5]. The 5-year revenue CAGR of 7.8% is moderate, and growth acceleration requires either EV market share gains or Ford Pro expansion — neither is certain. Autonomous driving disruption from Waymo and Tesla FSD remains a medium-term structural risk to personal vehicle ownership [2]. The Inspire Impact Score of -49 (MISALIGNED) limits allocation for faith-based investors. Tariff uncertainty and cyclical auto demand further cloud the outlook.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Ford Pro commercial fleet business achieving sustained margin expansion through fleet electrification and recurring software-defined services revenue, potentially justifying a higher standalone valuation [1]</w:t>
      </w:r>
    </w:p>
    <w:p>
      <w:pPr>
        <w:spacing w:before="40" w:after="40"/>
        <w:ind w:left="283"/>
      </w:pPr>
      <w:r>
        <w:rPr>
          <w:rFonts w:ascii="Calibri" w:hAnsi="Calibri"/>
          <w:b/>
          <w:color w:val="4A6B25"/>
          <w:sz w:val="20"/>
        </w:rPr>
        <w:t xml:space="preserve">2. </w:t>
      </w:r>
      <w:r>
        <w:rPr>
          <w:rFonts w:ascii="Calibri" w:hAnsi="Calibri"/>
          <w:b w:val="0"/>
          <w:color w:val="3A4A28"/>
          <w:sz w:val="20"/>
        </w:rPr>
        <w:t>Continued profitability improvement with FY2026 EBIT guidance of $8.5-10.5B and adjusted free cash flow of $5-6B demonstrating operational leverage and validating the profitability-first strategy [1]</w:t>
      </w:r>
    </w:p>
    <w:p>
      <w:pPr>
        <w:spacing w:before="40" w:after="40"/>
        <w:ind w:left="283"/>
      </w:pPr>
      <w:r>
        <w:rPr>
          <w:rFonts w:ascii="Calibri" w:hAnsi="Calibri"/>
          <w:b/>
          <w:color w:val="4A6B25"/>
          <w:sz w:val="20"/>
        </w:rPr>
        <w:t xml:space="preserve">3. </w:t>
      </w:r>
      <w:r>
        <w:rPr>
          <w:rFonts w:ascii="Calibri" w:hAnsi="Calibri"/>
          <w:b w:val="0"/>
          <w:color w:val="3A4A28"/>
          <w:sz w:val="20"/>
        </w:rPr>
        <w:t>Level 3 autonomous driving commercialization for the mass market — CEO Farley says Ford is 'getting really close' to delivering Level 3 in a cost-effective way, which could differentiate Ford from competitors and create new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Model e EV losses continuing at multi-billion-dollar annual run rate with no clear timeline to profitability, consuming cash that constrains dividends, buybacks, and investment in Ford Blue and Pro [1]</w:t>
      </w:r>
    </w:p>
    <w:p>
      <w:pPr>
        <w:spacing w:before="40" w:after="40"/>
        <w:ind w:left="283"/>
      </w:pPr>
      <w:r>
        <w:rPr>
          <w:rFonts w:ascii="Calibri" w:hAnsi="Calibri"/>
          <w:b/>
          <w:color w:val="4A6B25"/>
          <w:sz w:val="20"/>
        </w:rPr>
        <w:t xml:space="preserve">2. </w:t>
      </w:r>
      <w:r>
        <w:rPr>
          <w:rFonts w:ascii="Calibri" w:hAnsi="Calibri"/>
          <w:b w:val="0"/>
          <w:color w:val="3A4A28"/>
          <w:sz w:val="20"/>
        </w:rPr>
        <w:t>Cyclical auto demand vulnerability with 450% D/E leverage (including Ford Credit) — a U.S. recession would compress truck/SUV pricing power while amplifying downside risk on the heavily leveraged balance sheet [6]</w:t>
      </w:r>
    </w:p>
    <w:p>
      <w:pPr>
        <w:spacing w:before="40" w:after="40"/>
        <w:ind w:left="283"/>
      </w:pPr>
      <w:r>
        <w:rPr>
          <w:rFonts w:ascii="Calibri" w:hAnsi="Calibri"/>
          <w:b/>
          <w:color w:val="4A6B25"/>
          <w:sz w:val="20"/>
        </w:rPr>
        <w:t xml:space="preserve">3. </w:t>
      </w:r>
      <w:r>
        <w:rPr>
          <w:rFonts w:ascii="Calibri" w:hAnsi="Calibri"/>
          <w:b w:val="0"/>
          <w:color w:val="3A4A28"/>
          <w:sz w:val="20"/>
        </w:rPr>
        <w:t>Autonomous driving disruption from Waymo and Tesla FSD reducing personal vehicle ownership over the medium term, structurally shrinking Ford's addressable retail market while Ford's own Level 3 program remains in prototype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Ford's core business is physical vehicle manufacturing and sales — a physical product that AI cannot digitally replicate. Ford Pro's commercial fleet operations require physical service infrastructure that AI structurally cannot displace. However, autonomous driving (Waymo, Tesla FSD) represents a real long-term disruption risk to personal vehicle ownership if robotaxi fleets reduce the need for personally owned vehicles [2]. CEO Farley himself warns AI will 'replace literally half of white-collar workers,' demonstrating awareness of AI's transformative potential. Ford's response — pursuing Level 3 autonomy and partnering with Microsoft on industrial AI — is defensive rather than leading the disruption. Ford's manufacturing, supply chain, and dealership network create high barriers that AI alone cannot overcome, but the 5-10 year autonomous driving transition is a genuine structural risk. AI Opportunity (1/1): Ford generates AI-adjacent revenue through BlueCruise hands-free driving subscriptions, Latitude AI autonomous driving development, AI-powered fleet management through Ford Pro, and the Microsoft industrial AI partnership. The appointment of Chief AI and Data Officer Mano Mannoochahr signals organizational commitment to AI monetization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Ford Motor Company Q1 and Q2 2026 Earnings — Q1 Revenue $43.3B (+6%), Net Income $2.55B (+441%), EBIT $3.5B; Q2 Auto Revenue $44.89B, EPS $0.42 (Beat); FY2026 EBIT Guidance Raised to $8.5-10.5B — CNBC, SEC 8-K, S&amp;P Global, April-July 2026</w:t>
      </w:r>
    </w:p>
    <w:p>
      <w:pPr>
        <w:spacing w:before="20" w:after="20"/>
        <w:ind w:left="170"/>
      </w:pPr>
      <w:r>
        <w:rPr>
          <w:rFonts w:ascii="Calibri" w:hAnsi="Calibri"/>
          <w:b/>
          <w:color w:val="4A6B25"/>
          <w:sz w:val="15"/>
        </w:rPr>
        <w:t xml:space="preserve">2. </w:t>
      </w:r>
      <w:r>
        <w:rPr>
          <w:rFonts w:ascii="Calibri" w:hAnsi="Calibri"/>
          <w:b w:val="0"/>
          <w:color w:val="3A4A28"/>
          <w:sz w:val="17"/>
        </w:rPr>
        <w:t>Ford Motor AI and Autonomy Strategy — Chief AI Officer Mano Mannoochahr, Microsoft Industrial AI Roadmap, Level 3 Autonomy Demos, AI Quality Inspection Failure/Rehire — Forbes, InfotechLead, CDO Magazine, 2025-2026</w:t>
      </w:r>
    </w:p>
    <w:p>
      <w:pPr>
        <w:spacing w:before="20" w:after="20"/>
        <w:ind w:left="170"/>
      </w:pPr>
      <w:r>
        <w:rPr>
          <w:rFonts w:ascii="Calibri" w:hAnsi="Calibri"/>
          <w:b/>
          <w:color w:val="4A6B25"/>
          <w:sz w:val="15"/>
        </w:rPr>
        <w:t xml:space="preserve">3. </w:t>
      </w:r>
      <w:r>
        <w:rPr>
          <w:rFonts w:ascii="Calibri" w:hAnsi="Calibri"/>
          <w:b w:val="0"/>
          <w:color w:val="3A4A28"/>
          <w:sz w:val="17"/>
        </w:rPr>
        <w:t>Ford Motor Corporate Profile — 123-Year History, CEO Jim Farley, Mission Statement, Glassdoor 3.9/5, 168K Employees, Cultural Transformation — Ford.com, Fortune,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Ford Motor ESG and Sustainability — Sustainable Financing Framework, Responsible Material Sourcing, Supply Chain Emissions Reporting, Ford Fund — ESG Dive, Ford Corporate, 2025-2026</w:t>
      </w:r>
    </w:p>
    <w:p>
      <w:pPr>
        <w:spacing w:before="20" w:after="20"/>
        <w:ind w:left="170"/>
      </w:pPr>
      <w:r>
        <w:rPr>
          <w:rFonts w:ascii="Calibri" w:hAnsi="Calibri"/>
          <w:b/>
          <w:color w:val="4A6B25"/>
          <w:sz w:val="15"/>
        </w:rPr>
        <w:t xml:space="preserve">5. </w:t>
      </w:r>
      <w:r>
        <w:rPr>
          <w:rFonts w:ascii="Calibri" w:hAnsi="Calibri"/>
          <w:b w:val="0"/>
          <w:color w:val="3A4A28"/>
          <w:sz w:val="17"/>
        </w:rPr>
        <w:t>Ford Motor Insider Transactions — Executive Chair Bill Ford Jr. Bought 140,000 Shares at $13.82 ($1.93M), Director Thornton Purchase, Dividend History — Seeking Alpha, Yahoo Finance, FUNanc1al, February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F Key Statistics: Stock Price $14.25, Forward P/E 7.86, PEG 0.19, D/E 450%, ROE 13%, Profit Margin 3.18%, Dividend Yield 4.21%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