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GEMI</w:t>
      </w:r>
      <w:r>
        <w:rPr>
          <w:rFonts w:ascii="Calibri" w:hAnsi="Calibri"/>
          <w:b/>
          <w:color w:val="1A2010"/>
          <w:sz w:val="40"/>
        </w:rPr>
        <w:t xml:space="preserve">  Gemini Space Station, Inc.</w:t>
      </w:r>
    </w:p>
    <w:p>
      <w:pPr>
        <w:spacing w:after="120"/>
      </w:pPr>
      <w:r>
        <w:rPr>
          <w:rFonts w:ascii="Calibri" w:hAnsi="Calibri"/>
          <w:b/>
          <w:color w:val="6E8450"/>
          <w:sz w:val="18"/>
        </w:rPr>
        <w:t>GROWTH SLEEVE · 2026-07-25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Gemini Space Station operates the Gemini cryptocurrency exchange platform, offering trading, custody, staking, yield products, credit card, derivatives, and payments infrastructure for digital assets. Founded by Cameron and Tyler Winklevoss in 2014 and IPO'd in September 2025 at $28 per share, the company has since exited international markets (UK, EU, Australia), cut 25% of staff, and is pivoting toward CFTC-regulated prediction markets.</w:t>
      </w:r>
    </w:p>
    <w:p>
      <w:r>
        <w:rPr>
          <w:rFonts w:ascii="Calibri" w:hAnsi="Calibri"/>
          <w:b/>
          <w:color w:val="6E8450"/>
          <w:sz w:val="18"/>
        </w:rPr>
        <w:t>https://www.gemini.com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Since its September 2025 IPO at $28, GEMI has collapsed ~85% to ~$4.23, exited three international markets (UK, EU, Australia), laid off 25% of its workforce, and lost its CFO, COO, and CLO within months of going public [2][3]. This represents catastrophic post-IPO execution failure. AI Deployment (0/2): No evidence of AI-powered products or AI-driven operational improvements; the company operates a conventional crypto exchange platform [2]. Market Share (0/2): Gemini is a second-tier US crypto exchange, significantly behind Coinbase (COIN) in trading volume and user base, and is losing competitive positioning as it contracts internationally while rivals expand [2]. Pipeline (1/2): The pivot to prediction markets secured a CFTC derivatives clearing organization (DCO) license, and credit card revenue surged 300% YoY to $14.7M, showing some product diversification [1]. However, the prediction markets pivot triggered a securities class action lawsuit alleging it contradicts the growth story sold to IPO investors [3]. R&amp;D Intensity (0/1): The 25% staff reduction and international market exits suggest cost-cutting, not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Gemini's stated focus on regulatory compliance and institutional-grade crypto services ('crypto needs rules') is functional but generic and undifferentiated from Coinbase's similar positioning [2]. The mission has not prevented strategic chaos post-IPO. Community Impact (0/2): The Gemini Earn program collapse froze customer assets following the FTX implosion; while Gemini eventually contributed $40M toward returning assets (under regulatory pressure from NYDFS), this represents harm mitigation rather than community benefit [3]. Employee Retention (0/2): The 25% global workforce reduction and simultaneous departure of CFO Dan Chen, COO Marshall Beard, and CLO Tyler Meade just months after IPO indicate severe organizational instability [2]. Insider Buying (2/2): Cameron and Tyler Winklevoss made a $100M 'strategic investment' in May 2026 at $14/share via Winklevoss Capital, funded in Bitcoin — meaningful CEO insider buying with specific dollar amounts, even though shares have since fallen to ~$4.23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Gemini's financial profile reflects a deeply unprofitable crypto exchange with severe cash burn. Q1 2026 revenue of $50.3M grew 42% YoY, driven by credit card revenue (+300% to $14.7M) offsetting exchange revenue decline (-27%) [1]. However, the company posted a net loss of $109M on $50.3M revenue (Q1 margin of -217%), with operating expenses of $144.5M (+73% YoY) vastly exceeding revenue [1]. Cash of $215.6M at quarter-end, supplemented by the Winklevoss $100M investment, provides limited runway given the burn rate. D/E of ~125% reflects $494M in debt against shrinking equity [4]. Full year 2026 revenue is estimated at $230M with EPS of -$2.96, indicating no near-term path to profitability. Liquidity floor cleared: ~1.88M avg vol x $4.23 = $7.95M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Gemini under the Winklevoss twins is playing a decidedly finite game — the company IPO'd at $28 in September 2025, lost three C-suite executives within months, cut 25% of staff, abandoned three international markets, and pivoted strategy to prediction markets. The securities class action alleging misrepresentation of strategy to IPO investors epitomizes finite game behavior — optimizing for the IPO event rather than building for the long term.</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Gemini's original positioning around 'regulated crypto' had elements of a cause, but the post-IPO strategic chaos — abandoning international expansion, pivoting to prediction markets, losing key leadership — reveals no enduring purpose guiding decisions [2][3]. The company appears to be optimizing for survival rather than advancing a vision. Sinek would see a company that marketed a cause for the IPO but abandoned it at the first sign of difficulty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simultaneous departure of CFO, COO, and CLO just months after IPO — combined with 25% workforce reduction — indicates a deeply dysfunctional organizational environment [2]. Cameron Winklevoss assuming the departed COO's responsibilities consolidates power in the founding duo rather than building distributed leadership trust. The pattern of mass layoffs and executive exodus suggests employees are protecting themselves rather than advancing the mission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management acknowledging or learning from worthy rivals. The Winklevoss twins have positioned Gemini as the 'regulated' alternative to rivals, framing competition in terms of differentiation rather than self-improvement [2]. The strategic retreat from international markets while Coinbase and Binance expand suggests competitive capitulation rather than inspired rivalry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international crypto exchange to US-focused prediction markets platform with CFTC DCO license represents genuine strategic flexibility [1]. However, the pivot appears driven by desperation — collapsing stock price, unsustainable losses, international market failures — rather than service to a Just Cause. Sinek distinguishes between flexibility-by-purpose and flexibility-by-panic (1/2 points).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IPO at $28/share amid peak crypto enthusiasm, followed by rapid strategic reversal, looks more like opportunistic timing than courageous leadership [3]. The $100M Winklevoss investment at $14/share shows some personal conviction, but the 25% workforce cut and international market exits are cost-cutting survival measures, not courageous long-term investments (0/2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Gemini's Q1 2026 revenue of $50.3M grew 42% YoY, with credit card revenue surging 300% to $14.7M and total revenue diversifying beyond exchange trading [1]. The CFTC DCO license positions the prediction markets pivot with regulatory credibility, and the Winklevoss twins' $100M personal investment at $14/share signals founder conviction [2]. At ~$4.23 per share (85% below IPO), the stock offers asymmetric upside if the company stabilizes operations, prediction markets gain traction, and crypto market conditions improve. The FY2026 revenue estimate of $230M implies continued growth.</w:t>
      </w:r>
    </w:p>
    <w:p>
      <w:pPr>
        <w:spacing w:after="120"/>
      </w:pPr>
      <w:r>
        <w:rPr>
          <w:rFonts w:ascii="Calibri" w:hAnsi="Calibri"/>
          <w:b w:val="0"/>
          <w:color w:val="3A4A28"/>
          <w:sz w:val="20"/>
        </w:rPr>
        <w:t>The bear case remains overwhelming. GEMI has collapsed ~85% from its $28 IPO price, triggering a securities class action alleging the company misled investors about its strategic direction — allegedly planning a prediction markets pivot while marketing international exchange growth [3]. Three C-suite executives (CFO, COO, CLO) departed simultaneously within months of the IPO [2]. Q1 2026 net loss of $109M on $50.3M revenue produces a -217% profit margin, with operating expenses of $144.5M growing 73% YoY even as the company cuts 25% of its workforce [1]. Cash of $215.6M plus the $100M Winklevoss infusion provides limited runway at the current burn rate. Exchange revenue declined 27% as spot trading volume fell 53%, indicating the core business is contracting. The $494M debt burden against shrinking equity creates financial fragility [4]. Competitive positioning behind Coinbase in the US and the retreat from all international markets leaves Gemini without a defensible moat in any geography.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CFTC DCO license enables regulated prediction markets derivatives business, potentially capturing growing consumer demand for event-based trading products [1]</w:t>
      </w:r>
    </w:p>
    <w:p>
      <w:pPr>
        <w:spacing w:before="40" w:after="40"/>
        <w:ind w:left="283"/>
      </w:pPr>
      <w:r>
        <w:rPr>
          <w:rFonts w:ascii="Calibri" w:hAnsi="Calibri"/>
          <w:b/>
          <w:color w:val="4A6B25"/>
          <w:sz w:val="20"/>
        </w:rPr>
        <w:t xml:space="preserve">2. </w:t>
      </w:r>
      <w:r>
        <w:rPr>
          <w:rFonts w:ascii="Calibri" w:hAnsi="Calibri"/>
          <w:b w:val="0"/>
          <w:color w:val="3A4A28"/>
          <w:sz w:val="20"/>
        </w:rPr>
        <w:t>Credit card revenue surging 300% YoY to $14.7M demonstrates successful revenue diversification beyond volatile exchange trading fees [1]</w:t>
      </w:r>
    </w:p>
    <w:p>
      <w:pPr>
        <w:spacing w:before="40" w:after="40"/>
        <w:ind w:left="283"/>
      </w:pPr>
      <w:r>
        <w:rPr>
          <w:rFonts w:ascii="Calibri" w:hAnsi="Calibri"/>
          <w:b/>
          <w:color w:val="4A6B25"/>
          <w:sz w:val="20"/>
        </w:rPr>
        <w:t xml:space="preserve">3. </w:t>
      </w:r>
      <w:r>
        <w:rPr>
          <w:rFonts w:ascii="Calibri" w:hAnsi="Calibri"/>
          <w:b w:val="0"/>
          <w:color w:val="3A4A28"/>
          <w:sz w:val="20"/>
        </w:rPr>
        <w:t>Winklevoss $100M personal investment at $14/share and potential acquisition interest (CoinDesk reports buyers circling) could provide valuation support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Securities class action lawsuit alleging IPO misrepresentation — potential financial liability, ongoing legal costs, and reputational damage from Hagens Berman litigation [3]</w:t>
      </w:r>
    </w:p>
    <w:p>
      <w:pPr>
        <w:spacing w:before="40" w:after="40"/>
        <w:ind w:left="283"/>
      </w:pPr>
      <w:r>
        <w:rPr>
          <w:rFonts w:ascii="Calibri" w:hAnsi="Calibri"/>
          <w:b/>
          <w:color w:val="4A6B25"/>
          <w:sz w:val="20"/>
        </w:rPr>
        <w:t xml:space="preserve">2. </w:t>
      </w:r>
      <w:r>
        <w:rPr>
          <w:rFonts w:ascii="Calibri" w:hAnsi="Calibri"/>
          <w:b w:val="0"/>
          <w:color w:val="3A4A28"/>
          <w:sz w:val="20"/>
        </w:rPr>
        <w:t>Cash burn sustainability — $109M net loss in Q1 alone with $215.6M cash implies limited runway without additional financing, asset sales, or dramatic cost reduction [1][4]</w:t>
      </w:r>
    </w:p>
    <w:p>
      <w:pPr>
        <w:spacing w:before="40" w:after="40"/>
        <w:ind w:left="283"/>
      </w:pPr>
      <w:r>
        <w:rPr>
          <w:rFonts w:ascii="Calibri" w:hAnsi="Calibri"/>
          <w:b/>
          <w:color w:val="4A6B25"/>
          <w:sz w:val="20"/>
        </w:rPr>
        <w:t xml:space="preserve">3. </w:t>
      </w:r>
      <w:r>
        <w:rPr>
          <w:rFonts w:ascii="Calibri" w:hAnsi="Calibri"/>
          <w:b w:val="0"/>
          <w:color w:val="3A4A28"/>
          <w:sz w:val="20"/>
        </w:rPr>
        <w:t>Leadership vacuum with CFO/COO/CLO departures and power consolidating in the Winklevoss founders creates execution risk during a critical strategic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Gemini's core crypto exchange business faces moderate AI disruption risk. AI-powered trading bots and automated market-making tools are already compressing exchange spreads and reducing retail trading fee revenue [2]. The prediction markets pivot introduces additional AI risk as AI-powered prediction platforms could compete directly. However, Gemini's custody infrastructure, regulatory compliance framework (including new CFTC DCO license), and fiat on/off-ramp capabilities require physical-world financial infrastructure and regulatory licenses that AI cannot replicate [1]. AI Opportunity (0/1): No evidence of AI-generated revenue or AI-powered client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Gemini Space Station Q1 2026 Earnings — $50.3M revenue (+42% YoY), $109M net loss, CFTC DCO license, credit card revenue $14.7M, May 2026</w:t>
      </w:r>
    </w:p>
    <w:p>
      <w:pPr>
        <w:spacing w:before="20" w:after="20"/>
        <w:ind w:left="170"/>
      </w:pPr>
      <w:r>
        <w:rPr>
          <w:rFonts w:ascii="Calibri" w:hAnsi="Calibri"/>
          <w:b/>
          <w:color w:val="4A6B25"/>
          <w:sz w:val="15"/>
        </w:rPr>
        <w:t xml:space="preserve">2. </w:t>
      </w:r>
      <w:r>
        <w:rPr>
          <w:rFonts w:ascii="Calibri" w:hAnsi="Calibri"/>
          <w:b w:val="0"/>
          <w:color w:val="3A4A28"/>
          <w:sz w:val="17"/>
        </w:rPr>
        <w:t>CoinDesk, Bloomberg — Winklevoss $100M investment at $14/share, executive departures (CFO/COO/CLO), 25% layoffs, international market exits, prediction markets pivot, February-May 2026</w:t>
      </w:r>
    </w:p>
    <w:p>
      <w:pPr>
        <w:spacing w:before="20" w:after="20"/>
        <w:ind w:left="170"/>
      </w:pPr>
      <w:r>
        <w:rPr>
          <w:rFonts w:ascii="Calibri" w:hAnsi="Calibri"/>
          <w:b/>
          <w:color w:val="4A6B25"/>
          <w:sz w:val="15"/>
        </w:rPr>
        <w:t xml:space="preserve">3. </w:t>
      </w:r>
      <w:r>
        <w:rPr>
          <w:rFonts w:ascii="Calibri" w:hAnsi="Calibri"/>
          <w:b w:val="0"/>
          <w:color w:val="3A4A28"/>
          <w:sz w:val="17"/>
        </w:rPr>
        <w:t>Hagens Berman / GlobeNewsWire — GEMI securities class action alleging IPO misrepresentation of strategy,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web financial data for GEMI (Gemini Space Station), retrieved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