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GFL</w:t>
      </w:r>
      <w:r>
        <w:rPr>
          <w:rFonts w:ascii="Calibri" w:hAnsi="Calibri"/>
          <w:b/>
          <w:color w:val="1A2010"/>
          <w:sz w:val="40"/>
        </w:rPr>
        <w:t xml:space="preserve">  GFL Environmental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Waste Management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GFL Environmental Inc. is the third-largest waste management company in North America, providing solid waste collection, recycling, and liquid waste management services across Canada and the United States. The company has grown through 100+ acquisitions since founding, recently divesting its Environmental Services unit for $8B to focus on core solid waste and liquid waste operations. Founded in 2007, headquartered in Vaughan, Ontario, Canada.</w:t>
      </w:r>
    </w:p>
    <w:p>
      <w:r>
        <w:rPr>
          <w:rFonts w:ascii="Calibri" w:hAnsi="Calibri"/>
          <w:b/>
          <w:color w:val="6E8450"/>
          <w:sz w:val="18"/>
        </w:rPr>
        <w:t>15,000 Employees · https://gflenv.com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GFL has executed an aggressive serial acquisition strategy completing 100+ acquisitions since founding, most notably divesting the Environmental Services division for $8B in 2025 to refocus on core solid waste and liquid waste operations [1]. Q1 2026 delivered record EBITDA margins with revenue up 8.5% on continuing operations. However, growth is acquisition-driven rather than product innovation — the business model is fundamentally unchanged from traditional waste collection. AI Deployment (1/2): CEO Dovigi described a 'bottom-up approach to AI' with a successful pilot at the Toronto hauling yard (~200 routes) using AI-driven optimization, plus AI for sorting in recycling facilities and IoT for predictive maintenance on fleet assets [2]. Early-stage but shipping real operational improvements. Market Share (1/2): Third-largest waste management company in North America behind Waste Management and Republic Services, with strong Canadian presence and growing US market share through tuck-in acquisitions, but not a category leader [1]. Pipeline (1/2): FY2026 guidance raised to $2,230M adjusted EBITDA (~30.6% margin, +$90M from initial guidance), core pricing in mid-5% range with 2.5% M&amp;A revenue contribution [1]. R&amp;D Intensity (0/1): No separately disclosed R&amp;D spending; waste management is a capital-intensive but low-R&amp;D industry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GFL's focus on environmental services and sustainability-adjacent operations — waste collection, recycling, liquid waste treatment — connects to a broader environmental purpose. The company targets 15% GHG reduction by 2030 through landfill gas capture and fleet electrification [3]. Clear but not distinctively articulated compared to peers. Community Impact (1/2): Environmental services operations inherently provide community benefit through responsible waste management, recycling programs, and environmental remediation. Sustainability commitments include SAF partnerships and high-speed rail promotion through investor Certares [3]. Employee Retention (0/2): Glassdoor ratings of 3.0/5 for culture and values, 3.0/5 for work-life balance, and 2.9/5 for career opportunities are well below average. Multiple reviews describe a 'hostile environment,' 'sexist culture,' 'big egos, no planning, everyone hates everyone,' and 'leadership does nothing to support inclusion' — significant red flags [2]. Insider Buying (1/2): Founder-CEO Patrick Dovigi maintains significant ownership through a multi-class share structure, signaling long-term alignment, but no specific recent net open-market insider buying identified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FY2025 revenue was $6,616M with 9.5% organic growth excluding divestitures; Q1 2026 grew 8.5% organically with raised EBITDA guidance to $2,230M [1]. D/E of 135% is elevated reflecting $7.1B total debt (score 0.72). ROE of 3.28% is weak, reflecting thin profitability on a leveraged balance sheet (score 0.22) [4]. Forward P/E of 54.35 is extremely high, nearly at the 60 floor, scoring 0.14 — the trailing P/E of 5.35 reflects a one-time $3.83B gain from the Environmental Services divestiture and is non-recurring [4]. Profit margin of 3.12% on a normalized basis is thin despite 30%+ EBITDA margins, as heavy interest expense and depreciation compress net income (score 0.16). Revenue growth YoY of 8.5% and 5yr CAGR of ~9.5% score near but below the 10% target. PEG ratio unavailable and excluded. Liquidity floor passes: 1.77M avg volume x $39 = $69M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GFL operates with a predominantly finite game mindset. Founder-CEO Dovigi has articulated ambitions to 'double in size' through acquisitions, focusing on market share expansion and financial scale rather than an enduring purpose. The 3.0/5 Glassdoor culture rating with reports of hostility and 'big egos' suggests a low-trust environment. The serial acquisition strategy and heavy leverage reflect a grow-to-win competitive posture optimized for consolidation rather than endurance.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GFL's work in waste management and environmental services connects to a genuine societal need — responsible waste handling, recycling, and environmental remediation are essential for community health [3]. The company's growth from a Toronto startup to the third-largest North American waste company reflects real entrepreneurial drive. However, CEO Dovigi's primary articulated ambition is to 'double in size,' which is a financial scale objective rather than an idealistic vision. The cause is the industry's purpose, not a company-specific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paint a deeply concerning picture of organizational culture — 3.0/5 for culture and values, 2.9/5 for career opportunities, with employees describing 'sexist culture,' 'hostile environment,' 'leadership does nothing to support inclusion or fairness,' 'big egos, no planning, everyone hates everyone, there is no culture' [2]. While CEO Dovigi was recognized as one of Canada's Most Admired CEOs in 2022, executive-level recognition does not translate to psychological safety across the 15,000+ person field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GFL's competitive posture is aggressively acquisitive — 100+ acquisitions with CEO Dovigi explicitly targeting doubling in size [2]. The competitive language emphasizes market share expansion and consolidation rather than learning from rivals' strengths. While the $8B divestiture was partly influenced by peers' higher-margin pure-play models, the company positions itself as a disruptive challenger seeking to win through scale rather than improve through competitive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GFL demonstrated meaningful strategic flexibility by divesting its $8B Environmental Services division to focus on core solid waste and liquid waste operations — a significant portfolio transformation that sacrificed revenue for strategic clarity and margin improvement [1]. The company has evolved from a small Toronto hauler to a North American-scale operator. However, the core waste collection and disposal business model has remained fundamentally unchanged throughout; the pivot was portfolio management, not business model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$8B Environmental Services divestiture was a bold decision to simplify the business and reduce the $7.1B debt load despite giving up significant revenue [1]. Building a $14B+ waste company from scratch through aggressive M&amp;A in under 20 years required persistent risk-taking and conviction. However, these are primarily financial engineering and scale-building decisions rather than principled long-term bets that sacrifice near-term results for enduring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GFL Environmental is the third-largest waste management company in North America, delivering record Q1 2026 EBITDA margins with management raising adjusted EBITDA guidance by $90M to $2,230M (~30.6% margin) [1]. The $8B Environmental Services divestiture in 2025 is deleveraging the $7.1B debt load and refocusing the portfolio on higher-margin solid waste and liquid waste operations. Core pricing in the mid-5% range demonstrates strong pricing power in a rational oligopoly alongside Waste Management and Republic Services. The waste management industry is structurally advantaged — essential service, high barriers to entry through landfill permits and franchise agreements, recession-resistant demand, and complete immunity to AI disruption. AI route optimization and recycling sorting automation are driving incremental margin expansion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leverage, valuation, and organizational culture. D/E of 135% and $7.1B total debt create heavy interest expense that compresses net margins to 3.12% despite 30%+ EBITDA margins [4]. Forward P/E of 54.35 is extremely elevated for a company growing revenue in the high-single-digits organically, trading at a steep premium to Waste Management (~28x) and Republic Services (~30x) despite weaker margins and higher leverage. ROE of 3.28% does not generate adequate returns on equity relative to cost of capital. The trailing P/E of 5.35 reflects a one-time $3.83B gain from the Environmental Services divestiture and will normalize dramatically. Glassdoor culture scores of 3.0/5 with reports of hostility, sexism, and 'big egos' indicate organizational dysfunction that could drive field employee turnover and execution risk [2]. CEO Dovigi's dual-class share structure concentrating control until 2040 limits governance accountability.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Raised FY2026 adjusted EBITDA guidance by $90M to $2,230M with record margins of ~30.6%, driven by mid-5% core pricing power and AI-enabled operational efficiency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Deleveraging from $8B Environmental Services divestiture proceeds reducing the $7.1B debt load, potentially driving credit rating upgrades and lower interest expense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route optimization at Toronto hauling yard pilot scaling to additional markets, plus recycling sorting automation and IoT predictive maintenance driving incremental margin expansion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of 135% and $7.1B total debt compress net margins to 3.12% despite 30%+ EBITDA margins — interest rate sensitivity and recession-driven volume declines could stress debt covenants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54.35 is a steep premium to Waste Management (~28x) and Republic Services (~30x), creating significant multiple compression risk if organic growth disappoints mid-single-digit expectations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Glassdoor culture ratings of 3.0/5 with reports of hostility, sexism, and dysfunction indicate organizational trust deficits that could drive field employee turnover across 15,000+ workers, compounded by governance concerns over dual-class share structure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Waste management is a fundamentally physical-world operation — garbage trucks, landfills, recycling facilities, and liquid waste treatment require extensive physical infrastructure, specialized equipment, and decades of regulatory permitting that AI structurally cannot displace [1]. Solid waste collection involves route-based truck operations across thousands of municipalities with local franchise agreements, environmental compliance requirements, and capital-intensive assets. AI data center expansion actually increases demand for waste management services. No analyst has identified AI as a substitution risk for waste management. AI Opportunity (1/1): GFL actively deploys AI for route optimization (Toronto hauling yard pilot showing strong adoption), recycling sorting automation through the Environmental Innovation Program, and IoT-driven predictive maintenance, generating measurable operational efficiency gains that drive record EBITDA margins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GFL Environmental Q1 2026 Earnings Release — Revenue +8.5% organic growth, record EBITDA margins, raised FY2026 EBITDA guidance by $90M to $2,230M, $8B Environmental Services divestiture,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GFL Environmental Leadership, Culture, and AI — CEO Patrick Dovigi, Glassdoor reviews (3.0/5), AI route optimization pilot, Waste Dive CEO interview,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GFL Environmental ESG and Sustainability — 15% GHG reduction target by 2030, landfill gas capture, fleet electrification, SAF partnerships,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 / Yahoo Finance / MacroTrends — GFL key statistics, valuation ratios, D/E 135%, Forward PE 54.35,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