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GLNG</w:t>
      </w:r>
      <w:r>
        <w:rPr>
          <w:rFonts w:ascii="Calibri" w:hAnsi="Calibri"/>
          <w:b/>
          <w:color w:val="1A2010"/>
          <w:sz w:val="40"/>
        </w:rPr>
        <w:t xml:space="preserve">  Golar LNG Limited</w:t>
      </w:r>
    </w:p>
    <w:p>
      <w:pPr>
        <w:spacing w:after="120"/>
      </w:pPr>
      <w:r>
        <w:rPr>
          <w:rFonts w:ascii="Calibri" w:hAnsi="Calibri"/>
          <w:b/>
          <w:color w:val="6E8450"/>
          <w:sz w:val="18"/>
        </w:rPr>
        <w:t>GROWTH SLEEVE · 2026-07-22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NASDAQ · Bermuda</w:t>
      </w:r>
    </w:p>
    <w:p>
      <w:pPr>
        <w:spacing w:after="80"/>
      </w:pPr>
      <w:r>
        <w:rPr>
          <w:rFonts w:ascii="Calibri" w:hAnsi="Calibri"/>
          <w:b w:val="0"/>
          <w:color w:val="3A4A28"/>
          <w:sz w:val="20"/>
        </w:rPr>
        <w:t>Golar LNG Limited designs, converts, owns, and operates marine infrastructure for the liquefaction of natural gas. The company operates floating liquefaction natural gas (FLNG) vessels and LNG carriers, providing upstream gas monetization solutions through long-term charter contracts. Golar pioneered the FLNG concept, owns three FLNG units with a combined $17B adjusted EBITDA backlog, and has launched a strategic review with Goldman Sachs to accelerate FLNG growth. Market cap approximately $5.0B.</w:t>
      </w:r>
    </w:p>
    <w:p>
      <w:r>
        <w:rPr>
          <w:rFonts w:ascii="Calibri" w:hAnsi="Calibri"/>
          <w:b/>
          <w:color w:val="6E8450"/>
          <w:sz w:val="18"/>
        </w:rPr>
        <w:t>500 Employees · https://www.golarlng.com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Golar's FLNG transformation continues to deliver — Q1 2026 revenue surged 120% YoY to $138M with net income of $102M (vs $8.2M in Q1 2025), driven by FLNG Gimi's full-quarter contribution on its 20-year BP Greater Tortue Ahmeyim lease [1]. Full-year 2025 revenue grew 51% to $394M with adjusted EBITDA of $265M. The company has fundamentally transformed from an LNG shipping company to a floating liquefaction infrastructure provider, with two 20-year Argentina contracts worth approximately $14B in future EBITDA securing the next growth phase [1]. AI Deployment (0/2): No AI products or quantified AI-driven efficiency gains; Golar operates physical maritime infrastructure where AI adoption is limited to standard operational optimization [2]. Market Share (2/2): Golar is the undisputed global leader in FLNG technology, owning three of the world's few operational floating liquefaction vessels (Hilli Episeyo and FLNG Gimi, with a third under conversion) in a market category it effectively created [1]. Pipeline (2/2): Plans to order a 4th FLNG unit within 2026, strategic review launched with Goldman Sachs to accelerate FLNG growth and maximize stakeholder value. Management projects annual run-rate EBITDA exceeding $800M once all three units are fully deployed — approximately 3x current levels [1]. R&amp;D Intensity (1/1): Golar's lean innovation approach — converting existing vessels into FLNG units rather than building expensive newbuilds — represents capital-efficient engineering innovation above industry intensity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Golar's stated purpose centers on enabling the energy transition by providing floating LNG infrastructure that monetizes stranded gas resources, reducing flaring and enabling cleaner energy access in developing nations [3]. The company champions LNG as a transitional fuel in partnership with renewables. This is clear and connects to a broader energy purpose, but is not deeply distinctive among energy infrastructure peers. Community Impact (1/2): Golar's FLNG projects create economic development in host nations — the Greater Tortue Ahmeyim project in Mauritania/Senegal and upcoming Argentina deployments bring energy infrastructure and employment to developing markets — though specific charitable programs or philanthropic dollar amounts are not disclosed [3][4]. Employee Retention (1/2): CEO Karl Fredrik Staubo has led since 2021 after serving as CFO since 2020, providing leadership stability. The ~500-person organization maintains a lean structure focused on maritime and engineering expertise. Glassdoor reviews (13 reviews) are mixed — some praise 'good management and good leadership' while others cite 'Bad Management across Senior Leadership' [2][6]. Insider Buying (1/2): Chairman Tor Olav Troim is a significant shareholder through his control stake, providing meaningful alignment with minority shareholders, though no specific recent open-market insider purchases were identified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showed remarkable earnings improvement — $102M net income on $138M revenue, up from $8.2M net income on $62.7M revenue in Q1 2025, with adjusted EBITDA of $106M (+158% YoY) [1]. However, trailing metrics still reflect the FLNG ramp-up transition. D/E of 134% is above the 70% target but manageable for capital-intensive energy infrastructure with $17B contracted EBITDA backlog (score 0.72). ROE of 5.1% is depressed by the early-stage fleet deployment (score 0.34, 2x weight). Revenue growth of 120% YoY in Q1 (score 1.0) and estimated 5yr CAGR of ~14% (score 1.0, 2x weight) are excellent. Forward P/E of 68x (likely stale consensus pre-Q1 beat — Q1 annualized run-rate implies PE of ~12-13x) scores 0.0 against the 60x floor. Profit margin of 16.7% is strong but below 20% target (score 0.84). PEG ratio (from stale consensus) excluded as unreliable. Weighted sum: 5.23/8 = 6.54, adjusts to 5 when including PEG at floor. Liquidity floor cleared: 3.37M avg volume x $51.47 = $173M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Golar LNG demonstrates strong infinite game characteristics through its 20-year charter contract structure, transformative business model pivot from LNG shipping to FLNG ownership, and patient capital deployment in developing market energy infrastructure. The willingness to invest years in vessel conversions before revenue materializes exemplifies long-term thinking. The strategic review with Goldman Sachs and planned 4th FLNG order signal continued commitment to the long-term FLNG vision, though governance questions around the Troim family influence and limited employee sentiment data temper the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Golar's purpose — enabling global energy access by monetizing stranded gas through floating LNG infrastructure — connects the company's work to energy security, emissions reduction (replacing flaring and coal), and economic development in underserved nations like Mauritania/Senegal and Argentina [1][3]. This cause is genuine and distinctive in the energy sector. The FLNG model uniquely enables countries without LNG infrastructure to access their gas resources. However, the FLNG transformation is relatively recent and hasn't been tested through a truly existential crisis.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Golar's lean ~500-person organization operates complex FLNG vessels globally, requiring high-trust collaboration between maritime crews, engineers, and management [2]. CEO Staubo's progression from CFO to CEO suggests internal trust. Glassdoor reviews (13 total) are mixed — some praise 'Team working in all areas' and 'good management,' while others cite 'Bad Management across Senior Leadership' [6]. Limited sample makes definitive assessment difficult. Chairman Troim's controversial public comments on diversity create board-level culture concerns [4].</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Golar acknowledges competition from land-based LNG terminals (Cheniere, Qatar Energy) and uses their scale advantages as motivation to differentiate through floating solutions that offer faster deployment, lower upfront costs, and access to stranded gas fields that land-based terminals cannot reach [1][2]. The competitive framing is about improving Golar's differentiated offering, not about defeating rivals.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Golar fundamentally reinvented itself from an LNG shipping company (carrier owner/operator) into a floating liquefaction infrastructure company — abandoning the commodity shipping model for a capital-intensive, long-term contracted FLNG model [1]. This transformation required divesting shipping assets, investing hundreds of millions in vessel conversions, and waiting years for revenue realization. The Q1 2026 results ($102M net income, 120% YoY revenue growth) validate this transformative pivot. The planned 4th FLNG order signals continuation of this transformation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Golar's decision to commit capital to FLNG vessel conversions years before revenue — and to secure 20-year take-or-pay contracts that sacrifice short-term flexibility for long-term certainty — demonstrates genuine willingness to invest for the future [1]. The strategic review with Goldman Sachs and planned 4th FLNG order within 2026 show continued forward investment during a period of execution. However, dividend policy has been inconsistent (gaps in 2009 and 2020-2022), and Chairman Troim's controversial diversity comments suggest governance priorities that may not always align with long-term stakeholder trust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Golar LNG is delivering on its rare FLNG business model transformation — Q1 2026 revenue surged 120% YoY to $138M with net income of $102M (vs $8.2M in Q1 2025) and adjusted EBITDA of $106M (+158% YoY) as FLNG Gimi contributes full quarters from its 20-year BP lease [1]. The company has a $17B adjusted EBITDA backlog across three FLNG vessels with 20-year take-or-pay charters, including two Argentina contracts worth approximately $14B in future EBITDA [1]. Management projects annual EBITDA exceeding $800M once the fleet is fully deployed — approximately 3x the current run-rate — with plans to order a 4th FLNG unit within 2026 and Goldman Sachs engaged for a strategic review to accelerate growth [1]. Golar operates in a market category it effectively created, with very few competitors capable of designing, converting, and operating FLNG vessels. AI-driven data center expansion provides a structural tailwind for LNG demand. At an annualized Q1 run-rate, the stock trades at approximately 12-13x earnings, significantly below the trailing PE of 89.7x which reflects pre-ramp earnings.</w:t>
      </w:r>
    </w:p>
    <w:p>
      <w:pPr>
        <w:spacing w:after="120"/>
      </w:pPr>
      <w:r>
        <w:rPr>
          <w:rFonts w:ascii="Calibri" w:hAnsi="Calibri"/>
          <w:b w:val="0"/>
          <w:color w:val="3A4A28"/>
          <w:sz w:val="20"/>
        </w:rPr>
        <w:t>The bear case centers on execution risk, stale consensus valuations, and energy transition uncertainty. The trailing PE of 89.7x and forward PE of 67.97x (likely stale consensus that hasn't been updated for Q1 2026's massive earnings improvement) reflect a market still pricing in transition risk, and any analyst upgrades to reflect the run-rate earnings could re-rate the stock [5]. D/E of 134% reflects the capital-intensive nature of FLNG conversions, and the $17B backlog requires decades of operational execution to realize. The GAAP payout ratio of 167% exceeds net income, suggesting the $1.00 annual dividend may not be sustainable from current earnings alone without further EBITDA growth [5]. Concentration risk is material — just two operating FLNG units (Hilli and Gimi) mean any single vessel disruption would significantly impact financial results. Geopolitical risk is meaningful: Argentina contracts depend on stable government policy and the Mauritania/Senegal project faces West African political complexity. Long-term energy transition risk exists if renewable generation and battery storage accelerate, reducing LNG demand post-2040. Chairman Troim's controversial public comments on diversity create ESG headline risk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4th FLNG unit order within 2026 — would demonstrate management conviction in the FLNG model, expand the fleet, and extend the contracted EBITDA trajectory toward $800M+ annual run-rate [1]</w:t>
      </w:r>
    </w:p>
    <w:p>
      <w:pPr>
        <w:spacing w:before="40" w:after="40"/>
        <w:ind w:left="283"/>
      </w:pPr>
      <w:r>
        <w:rPr>
          <w:rFonts w:ascii="Calibri" w:hAnsi="Calibri"/>
          <w:b/>
          <w:color w:val="4A6B25"/>
          <w:sz w:val="20"/>
        </w:rPr>
        <w:t xml:space="preserve">2. </w:t>
      </w:r>
      <w:r>
        <w:rPr>
          <w:rFonts w:ascii="Calibri" w:hAnsi="Calibri"/>
          <w:b w:val="0"/>
          <w:color w:val="3A4A28"/>
          <w:sz w:val="20"/>
        </w:rPr>
        <w:t>Strategic review with Goldman Sachs — potential partnership, asset-level financing, or transformative deal to accelerate FLNG deployment and unlock embedded value from the $17B EBITDA backlog [1]</w:t>
      </w:r>
    </w:p>
    <w:p>
      <w:pPr>
        <w:spacing w:before="40" w:after="40"/>
        <w:ind w:left="283"/>
      </w:pPr>
      <w:r>
        <w:rPr>
          <w:rFonts w:ascii="Calibri" w:hAnsi="Calibri"/>
          <w:b/>
          <w:color w:val="4A6B25"/>
          <w:sz w:val="20"/>
        </w:rPr>
        <w:t xml:space="preserve">3. </w:t>
      </w:r>
      <w:r>
        <w:rPr>
          <w:rFonts w:ascii="Calibri" w:hAnsi="Calibri"/>
          <w:b w:val="0"/>
          <w:color w:val="3A4A28"/>
          <w:sz w:val="20"/>
        </w:rPr>
        <w:t>Analyst consensus upgrades — stale forward PE of 68x is inconsistent with Q1 2026 annualized run-rate PE of ~12-13x; consensus revisions reflecting the FLNG ramp-up could drive meaningful re-rating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Concentration risk — only two operating FLNG units (Hilli and Gimi) means any single vessel operational disruption, mechanical failure, or project delay would materially impact earnings and cash flow [1]</w:t>
      </w:r>
    </w:p>
    <w:p>
      <w:pPr>
        <w:spacing w:before="40" w:after="40"/>
        <w:ind w:left="283"/>
      </w:pPr>
      <w:r>
        <w:rPr>
          <w:rFonts w:ascii="Calibri" w:hAnsi="Calibri"/>
          <w:b/>
          <w:color w:val="4A6B25"/>
          <w:sz w:val="20"/>
        </w:rPr>
        <w:t xml:space="preserve">2. </w:t>
      </w:r>
      <w:r>
        <w:rPr>
          <w:rFonts w:ascii="Calibri" w:hAnsi="Calibri"/>
          <w:b w:val="0"/>
          <w:color w:val="3A4A28"/>
          <w:sz w:val="20"/>
        </w:rPr>
        <w:t>Geopolitical exposure — 20-year Argentina contracts depend on stable energy policy in a historically volatile jurisdiction, and the Greater Tortue Ahmeyim project in Mauritania/Senegal faces West African political complexity [1]</w:t>
      </w:r>
    </w:p>
    <w:p>
      <w:pPr>
        <w:spacing w:before="40" w:after="40"/>
        <w:ind w:left="283"/>
      </w:pPr>
      <w:r>
        <w:rPr>
          <w:rFonts w:ascii="Calibri" w:hAnsi="Calibri"/>
          <w:b/>
          <w:color w:val="4A6B25"/>
          <w:sz w:val="20"/>
        </w:rPr>
        <w:t xml:space="preserve">3. </w:t>
      </w:r>
      <w:r>
        <w:rPr>
          <w:rFonts w:ascii="Calibri" w:hAnsi="Calibri"/>
          <w:b w:val="0"/>
          <w:color w:val="3A4A28"/>
          <w:sz w:val="20"/>
        </w:rPr>
        <w:t>Capital intensity and leverage — D/E of 134% reflects FLNG vessel financing, and the 4th FLNG order will require significant additional capital at a time when the payout ratio already exceeds net income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Golar's core business — designing, converting, and operating floating LNG liquefaction vessels in challenging offshore environments — is structurally immune to AI disruption [1]. AI cannot replace 200,000-ton FLNG vessels, maritime crew operations, or the complex cryogenic engineering required to liquefy natural gas offshore. The business requires physical-world infrastructure, decades of maritime expertise, and regulatory approvals that AI cannot replicate. Furthermore, AI's explosive growth in data centers directly increases global electricity demand, which drives LNG demand for power generation — AI is a structural tailwind for Golar's business [1]. The company's 20-year take-or-pay charter contracts eliminate revenue volatility from any broader AI disruption to energy markets. AI Opportunity (0/1): Golar does not generate quantifiable revenue from AI-related products or services. While AI-driven data center growth increases downstream LNG demand, this is a market tailwind rather than direct AI revenue generation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Golar LNG Q1 2026 Earnings — $138M revenue (+120% YoY), $102M net income, $106M adjusted EBITDA, 4th FLNG order planned, Goldman Sachs strategic review, StockTitan / SEC Form 6-K, May 2026</w:t>
      </w:r>
    </w:p>
    <w:p>
      <w:pPr>
        <w:spacing w:before="20" w:after="20"/>
        <w:ind w:left="170"/>
      </w:pPr>
      <w:r>
        <w:rPr>
          <w:rFonts w:ascii="Calibri" w:hAnsi="Calibri"/>
          <w:b/>
          <w:color w:val="4A6B25"/>
          <w:sz w:val="15"/>
        </w:rPr>
        <w:t xml:space="preserve">2. </w:t>
      </w:r>
      <w:r>
        <w:rPr>
          <w:rFonts w:ascii="Calibri" w:hAnsi="Calibri"/>
          <w:b w:val="0"/>
          <w:color w:val="3A4A28"/>
          <w:sz w:val="17"/>
        </w:rPr>
        <w:t>Golar LNG Management and Innovation — CEO Staubo, FLNG fleet, vessel conversion approach, golarlng.com,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Golar LNG Sustainability and ESG Framework — Energy transition positioning, LNG as transitional fuel, golarlng.com,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Baird Maritime / Sustainalytics — Tor Olav Troim controversial diversity comments, ESG Risk Rating, 2024-2026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GLNG key statistics, $51.47 price, $5.04B market cap, D/E 134%, ROE 5.07%,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Glassdoor — Golar LNG Reviews (13 reviews), mixed management feedback,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