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GLUE</w:t>
      </w:r>
      <w:r>
        <w:rPr>
          <w:rFonts w:ascii="Calibri" w:hAnsi="Calibri"/>
          <w:b/>
          <w:color w:val="1A2010"/>
          <w:sz w:val="40"/>
        </w:rPr>
        <w:t xml:space="preserve">  Monte Rosa Therapeutics, Inc.</w:t>
      </w:r>
    </w:p>
    <w:p>
      <w:pPr>
        <w:spacing w:after="120"/>
      </w:pPr>
      <w:r>
        <w:rPr>
          <w:rFonts w:ascii="Calibri" w:hAnsi="Calibri"/>
          <w:b/>
          <w:color w:val="6E8450"/>
          <w:sz w:val="18"/>
        </w:rPr>
        <w:t>GROWTH SLEEVE · 2026-07-25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Monte Rosa Therapeutics is a clinical-stage biotechnology company developing novel small molecule molecular glue degraders (MGDs) that harness the body's natural protein degradation mechanisms. Key programs include MRT-6160 for autoimmune diseases (licensed to Novartis), MRT-2359 for MYC-driven cancers, MRT-8102 for inflammatory diseases, and a CDK2/Cyclin E1 program approaching IND filing. The company's QuEEN AI-guided discovery engine enables rational design of MGD candidates.</w:t>
      </w:r>
    </w:p>
    <w:p>
      <w:r>
        <w:rPr>
          <w:rFonts w:ascii="Calibri" w:hAnsi="Calibri"/>
          <w:b/>
          <w:color w:val="6E8450"/>
          <w:sz w:val="18"/>
        </w:rPr>
        <w:t>150 Employees · https://www.monterosatx.com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Monte Rosa has advanced three clinical-stage programs since its 2019 founding, secured a landmark $150M upfront Novartis licensing deal for MRT-6160 (eligible for up to $2.1B in milestones), and demonstrated &gt;90% VAV1 degradation in Phase 1 studies [2]. The GFORCE-1 trial showed CRP levels dropped 85% in subjects with elevated cardiovascular risk after four weeks of dosing, providing compelling interim clinical validation [1]. AI Deployment (2/2): The QuEEN discovery engine combines AI-guided chemistry, computational biology, structural biology, and proteomics to identify degradable targets and rationally design MGDs — a genuine AI-driven drug discovery platform with measurable output (three clinical candidates and a CDK2 IND planned for 2026) [2]. Market Share (1/2): Monte Rosa is one of the leading molecular glue degrader companies alongside Arvinas and C4 Therapeutics, occupying a meaningful position in an emerging drug modality [3]. Pipeline (2/2): Strong multi-program visibility — GFORCE-1 interim data showing 85% CRP reduction, CDK2/Cyclin E1 IND filing planned for 2026, Novartis advancing MRT-6160 toward Phase 2, and MRT-8102 Phase 1 dosing underway with specific data readout timelines [1][2]. R&amp;D Intensity (1/1): R&amp;D spending dominates the P&amp;L as expected for a clinical-stage biotech operating an AI discovery platform with four active programs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Monte Rosa's mission to 'unlock the potential of molecular glue degraders to address diseases previously considered undruggable' is specific and thoughtful — it connects the company's work to expanding the boundaries of medicine beyond existing therapeutic approaches and clearly differentiates from generic biotech platitudes [2]. Community Impact (1/2): The company's work on autoimmune diseases (MRT-6160) and cancer therapeutics addresses significant unmet medical needs, with the Novartis partnership potentially bringing novel treatments to patients globally [2]. Employee Retention (1/2): Recent leadership promotions (Sharon Townson to CSO, Phil Nickson to CBLO, Jennifer Champoux to COO) and appointment of Dr. Eric Hughes to the board suggest internal talent development and reasonable retention for a 150-person biotech [2]. Insider Buying (0/2): No evidence of meaningful net insider buying found in the past 12 months; stock has been volatile following mixed MRT-2359 data and Q1 revenue miss [1][3].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Monte Rosa's financial profile reflects a pre-revenue clinical-stage biotech. Q1 2026 revenue of $4.21M missed consensus of $21.7M by 80.6%, as collaboration revenue collapsed from $84.9M in Q1 2025 (which included Novartis upfront recognition) to $4.2M without recurring milestones [1]. Net loss of $0.45/share for the quarter and FY2026 consensus of -$1.45 EPS confirms ongoing cash burn [1]. The critical bright spot is the balance sheet: $666.2M in cash, cash equivalents, and marketable securities — dramatically improved from $377M previously — providing runway into 2029 at current burn rates [1]. D/E is minimal at ~7% with the strengthened balance sheet. However, all profitability metrics (ROE -7.3%, profit margin -31.2%, negative forward PE) score zero, as expected for a pre-revenue biotech. Liquidity floor cleared: ~1.1M avg vol x $23.41 = $25.8M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Monte Rosa demonstrates mixed infinite game characteristics. The commitment to expanding medicine's boundaries through molecular glue degraders reflects genuine long-term purpose, and the patient approach to building the QuEEN AI discovery platform shows investment in enduring capability. The Novartis partnership demonstrates strategic maturity, but the deprioritization of MRT-2359 expansion arms following mixed data reveals finite-game pressure to conserve cash.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Monte Rosa's cause — making previously undruggable proteins druggable through molecular glue degraders — is specific, service-oriented, and bigger than any single product [2]. The mission connects scientific innovation to patient impact across oncology, autoimmune, and inflammatory diseases. The GFORCE-1 interim data (85% CRP reduction) provides early validation that the cause can translate to patient benefit [1]. However, at only 7 years old, the company hasn't proven this cause through crisis or leadership transition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Internal promotions of Sharon Townson to CSO, Phil Nickson to CBLO, Jennifer Champoux to COO, and appointment of Dr. Eric Hughes to the board signal a culture of developing talent from within [2]. CEO Markus Warmuth has led the company since founding, providing leadership continuity. At 150 employees, the organization appears stable without public reports of significant turnover or cultural dysfunction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Monte Rosa's Novartis partnership demonstrates a willingness to collaborate with larger players who have complementary strengths in clinical development and commercialization, rather than trying to go it alone [2]. The molecular glue degrader space includes Arvinas, C4 Therapeutics, and large pharma — Monte Rosa positions its QuEEN platform's differentiated capabilities as its competitive advantage rather than framing competition as a war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deprioritization of MRT-2359 expansion arms to focus on CRPC and ER+ breast cancer following mixed data demonstrates willingness to adapt strategy based on clinical evidence [3]. The CDK2/Cyclin E1 IND filing planned for 2026 shows continued platform evolution. However, these are incremental portfolio adjustments, not a transformative pivot, and the core MGD strategy has remained constant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Monte Rosa showed courage in building the QuEEN AI discovery platform from scratch rather than licensing existing technology, investing significantly in proprietary computational infrastructure [2]. The decision to license MRT-6160 to Novartis — giving up control of a promising asset for $150M upfront and $2.1B potential milestones — reflects pragmatic courage to partner for global commercialization capability the company lacks. The cash raise to $666M extends runway to 2029, showing long-term financial planning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Monte Rosa Therapeutics is a clinical-stage biotech pioneer in molecular glue degraders, with four active programs and an AI-powered discovery engine (QuEEN) that has produced three clinical candidates [2]. The GFORCE-1 interim data showing 85% CRP reduction in four weeks provides compelling early validation for the MRT-6160 program licensed to Novartis ($150M upfront, $2.1B potential milestones) [1]. The dramatically strengthened balance sheet of $666.2M in cash provides runway into 2029, eliminating near-term dilution risk and enabling full pipeline advancement including the CDK2/Cyclin E1 IND filing planned for 2026 [1]. At a ~$2.0B market cap, the stock prices in meaningful pipeline optionality with multiple catalysts in the next 12 months.</w:t>
      </w:r>
    </w:p>
    <w:p>
      <w:pPr>
        <w:spacing w:after="120"/>
      </w:pPr>
      <w:r>
        <w:rPr>
          <w:rFonts w:ascii="Calibri" w:hAnsi="Calibri"/>
          <w:b w:val="0"/>
          <w:color w:val="3A4A28"/>
          <w:sz w:val="20"/>
        </w:rPr>
        <w:t>The bear case centers on clinical execution risk and pre-revenue economics. Q1 2026 revenue of $4.21M missed consensus by 80.6% as Novartis milestone recognition was non-recurring, highlighting the lumpy, unpredictable nature of collaboration revenue — ongoing revenue will be negligible until a product reaches commercialization, which is years away [1]. MRT-2359 showed mixed results, leading to deprioritization of most expansion arms, raising questions about the breadth of the platform's clinical applicability [3]. Full year 2026 EPS of -$1.45 confirms ongoing cash burn. The molecular glue degrader space is increasingly competitive with Arvinas, C4 Therapeutics, and large pharma entering the field. Any clinical setback — particularly disappointing GFORCE-1 data in H2 2026 or CDK2 IND delays — could cause significant de-rating from the $2.0B market cap, as the stock is priced entirely on pipeline optionality rather than current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GFORCE-1 Phase 1 data readout in H2 2026, with interim data showing 85% CRP reduction in four weeks providing a high bar for the full dataset [1]</w:t>
      </w:r>
    </w:p>
    <w:p>
      <w:pPr>
        <w:spacing w:before="40" w:after="40"/>
        <w:ind w:left="283"/>
      </w:pPr>
      <w:r>
        <w:rPr>
          <w:rFonts w:ascii="Calibri" w:hAnsi="Calibri"/>
          <w:b/>
          <w:color w:val="4A6B25"/>
          <w:sz w:val="20"/>
        </w:rPr>
        <w:t xml:space="preserve">2. </w:t>
      </w:r>
      <w:r>
        <w:rPr>
          <w:rFonts w:ascii="Calibri" w:hAnsi="Calibri"/>
          <w:b w:val="0"/>
          <w:color w:val="3A4A28"/>
          <w:sz w:val="20"/>
        </w:rPr>
        <w:t>CDK2/Cyclin E1 IND filing planned for 2026, potentially adding a fourth clinical program and expanding the platform's reach into a validated oncology target [2]</w:t>
      </w:r>
    </w:p>
    <w:p>
      <w:pPr>
        <w:spacing w:before="40" w:after="40"/>
        <w:ind w:left="283"/>
      </w:pPr>
      <w:r>
        <w:rPr>
          <w:rFonts w:ascii="Calibri" w:hAnsi="Calibri"/>
          <w:b/>
          <w:color w:val="4A6B25"/>
          <w:sz w:val="20"/>
        </w:rPr>
        <w:t xml:space="preserve">3. </w:t>
      </w:r>
      <w:r>
        <w:rPr>
          <w:rFonts w:ascii="Calibri" w:hAnsi="Calibri"/>
          <w:b w:val="0"/>
          <w:color w:val="3A4A28"/>
          <w:sz w:val="20"/>
        </w:rPr>
        <w:t>Novartis advancement of MRT-6160 toward Phase 2 in autoimmune diseases, triggering development milestones from the $2.1B milestone package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trial failure risk — MRT-2359 has already shown mixed data leading to arm deprioritization; GFORCE-1 or CDK2 setbacks could undermine platform credibility [3]</w:t>
      </w:r>
    </w:p>
    <w:p>
      <w:pPr>
        <w:spacing w:before="40" w:after="40"/>
        <w:ind w:left="283"/>
      </w:pPr>
      <w:r>
        <w:rPr>
          <w:rFonts w:ascii="Calibri" w:hAnsi="Calibri"/>
          <w:b/>
          <w:color w:val="4A6B25"/>
          <w:sz w:val="20"/>
        </w:rPr>
        <w:t xml:space="preserve">2. </w:t>
      </w:r>
      <w:r>
        <w:rPr>
          <w:rFonts w:ascii="Calibri" w:hAnsi="Calibri"/>
          <w:b w:val="0"/>
          <w:color w:val="3A4A28"/>
          <w:sz w:val="20"/>
        </w:rPr>
        <w:t>Revenue dependency on non-recurring Novartis milestones — Q1 2026 revenue miss of 80.6% underscores the lumpy, unpredictable nature of pre-commercialization biotech economics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Arvinas, C4 Therapeutics, and large pharma molecular glue programs that could diminish Monte Rosa's positioning in targeted protein degradation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 drug development is structurally immune to AI disruption — AI cannot replace clinical trials, FDA regulatory processes, or biological validation required to bring therapeutics to market [2]. Monte Rosa's molecular glue degrader approach addresses 'undruggable' protein targets, a capability that AI tools alone cannot replicate without wet-lab chemistry and clinical testing. Patent protection on specific MGD compounds and the regulatory moat (years-long approval process) create barriers AI cannot bypass. AI Opportunity (1/1): Monte Rosa actively generates value from its QuEEN AI discovery engine, which uses AI-guided computational chemistry and proteomics to identify degradable targets and design MGD candidates — the platform has produced four programs including three clinical candidates, demonstrating measurable AI-driven drug discovery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Monte Rosa Therapeutics Q1 2026 Earnings — $4.21M revenue, -$0.45 EPS, $666.2M cash, GFORCE-1 interim CRP -85% data, May 2026</w:t>
      </w:r>
    </w:p>
    <w:p>
      <w:pPr>
        <w:spacing w:before="20" w:after="20"/>
        <w:ind w:left="170"/>
      </w:pPr>
      <w:r>
        <w:rPr>
          <w:rFonts w:ascii="Calibri" w:hAnsi="Calibri"/>
          <w:b/>
          <w:color w:val="4A6B25"/>
          <w:sz w:val="15"/>
        </w:rPr>
        <w:t xml:space="preserve">2. </w:t>
      </w:r>
      <w:r>
        <w:rPr>
          <w:rFonts w:ascii="Calibri" w:hAnsi="Calibri"/>
          <w:b w:val="0"/>
          <w:color w:val="3A4A28"/>
          <w:sz w:val="17"/>
        </w:rPr>
        <w:t>Monte Rosa Therapeutics corporate website — QuEEN Discovery Engine, Novartis $150M license, pipeline programs, leadership promotions, CDK2 IND plans,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Fierce Biotech / ChartMill — MRT-2359 mixed data, pipeline prioritization updates, MRT-8102 Phase 1 dosing,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web financial data for GLUE (Monte Rosa Therapeutics),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