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GMAB</w:t>
      </w:r>
      <w:r>
        <w:rPr>
          <w:rFonts w:ascii="Calibri" w:hAnsi="Calibri"/>
          <w:b/>
          <w:color w:val="1A2010"/>
          <w:sz w:val="40"/>
        </w:rPr>
        <w:t xml:space="preserve">  Genmab A/S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2026-07-22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74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Denmark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Genmab A/S is a Danish biotechnology company specializing in antibody-based therapeutics for cancer and other diseases. The company has eight approved antibody medicines on the market, including DARZALEX (multiple myeloma, via J&amp;J), Kesimpta (multiple sclerosis, via Novartis), EPKINLY/TEPKINLY (lymphoma), and Tivdak (cervical cancer). Genmab's proprietary DuoBody bispecific technology platform and extensive partnership network with J&amp;J, AbbVie, BioNTech, and Novo Nordisk drive its royalty-heavy revenue model.</w:t>
      </w:r>
    </w:p>
    <w:p>
      <w:r>
        <w:rPr>
          <w:rFonts w:ascii="Calibri" w:hAnsi="Calibri"/>
          <w:b/>
          <w:color w:val="6E8450"/>
          <w:sz w:val="18"/>
        </w:rPr>
        <w:t>2,973 Employees · https://www.genmab.com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Genmab has successfully launched multiple transformative antibody medicines over the past 5 years — DARZALEX grew to $14.3B in 2025 net sales (via J&amp;J), EPKINLY achieved $468M in proprietary sales (+67% YoY) in 2025, and proprietary portfolio sales surged 43% to $176M in Q1 2026 alone [1][2]. The company expanded from a pure royalty-dependent model to a hybrid with proprietary commercial products, representing genuine business model transformation. AI Deployment (1/2): Genmab's Discovery team is actively using AI for target identification and antibody candidate design, embedding in silico approaches to streamline drug discovery; the company says AI will 'turbocharge' its innovation, with heavy investment in change management for AI adoption [3]. No specific AI-driven revenue or cost savings quantified. Market Share (2/2): DARZALEX is the dominant treatment in multiple myeloma with $14.3B in 2025 sales; Genmab's DuoBody bispecific technology platform powers four approved bispecific medicines, establishing the company as the leading antibody engineering platform globally [1]. Pipeline (2/2): Deep late-stage pipeline including petosemtamab (head &amp; neck cancer), Rina-S (solid tumors), epcoritamab expansions into first-line DLBCL, and acasunlimab in NSCLC, with $5B+ pipeline potential and 2026 revenue guidance of $4.1-4.4B [1][2]. R&amp;D Intensity (0/1): R&amp;D spending is significant in absolute terms ($2.7-2.9B guided 2026 opex) but as a percentage of revenue is roughly in line with biotech peers given the high royalty revenue base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Genmab's purpose — to transform the lives of patients through innovative antibody medicine — is specific, thoughtful, and demonstrably lived out through 25+ years of consistent focus on antibody innovation under CEO Jan van de Winkel's scientific leadership since 2010 [3]. The mission connects antibody engineering directly to patient outcomes and differentiates from generic biotech missions through the specific focus on antibody platforms as the mechanism. Community Impact (1/2): Genmab publishes annual Corporate Responsibility Reports following SASB and TCFD frameworks and has patient access programs, but specific charitable giving dollar amounts and community investment details are not prominently disclosed [4]. Employee Retention (1/2): CEO van de Winkel's 16-year tenure provides exceptional leadership stability, and the company cultivates a culture with employees from 75+ nationalities emphasizing 'non-conventional approaches' [3]. Headcount grew 12.9% to 2,973 in 2025. However, no specific voluntary turnover rates or average employee tenure data was identified. Insider Buying (0/2): No evidence of meaningful net insider buying by CEO van de Winkel or other executives in the last 12 months was found in public disclosures.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metrics. Q1 2026 delivered $896M revenue, up 25% YoY, with royalty revenue of $742M (26% growth) and proprietary sales of $176M (43% growth) [1][2]. Full-year 2025 revenue was $3.72B (19.2% growth), and 2026 guidance of $4.1-4.4B implies continued double-digit expansion. D/E of 94.2% scores 0.90, above the 70% target but well below the 300% floor. ROE of ~15% is at target. Forward P/E of 16.95 is below the 20 target. Profit margin (TTM) of 21.1% exceeds the 20% target, reflecting the high-margin royalty model. Five-year revenue CAGR of ~20% substantially exceeds the 10% target. The primary drag is PEG ratio of 1.89 scoring 0.56, reflecting growth-adjusted valuation above the 1.0 target [5]. Liquidity floor cleared: 1.9M avg vol x $28.72 = $54.6M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Genmab demonstrates strong infinite game characteristics anchored by co-founder CEO Jan van de Winkel's 16-year tenure and the company's 25+ year consistent focus on antibody innovation. The strategic evolution from pure royalty model to hybrid commercial company shows purposeful adaptation in service of the mission. The partnership-first competitive approach reflects infinite thinking, though the company has not yet faced the kind of existential crisis that fully validates infinite game commitment.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Genmab's purpose — transforming patient lives through innovative antibody medicine — is genuine and has been consistently pursued for 25+ years under founder leadership [3]. Strategic decisions trace clearly back to this cause: every partnership (J&amp;J, AbbVie, Novo Nordisk), every platform (DuoBody, HexaBody), and every product serves antibody innovation for patients. CEO van de Winkel's 16-year tenure provides consistency of direction. However, the cause has not been tested through a genuine existential crisis or leadership transition that would elevate it to the highest tier.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van de Winkel cultivates a collaborative culture with employees from 75+ nationalities, encouraging 'non-conventional approaches' and investing heavily in people-centric change management for AI adoption [3]. The relatively small workforce (~3,000) enables closer organizational cohesion than large pharma peers. Headcount growth of 12.9% in 2025 suggests organizational stability. However, specific voluntary turnover rates or employee satisfaction data is limited.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Genmab's extensive partnership model — collaborating with J&amp;J, AbbVie, BioNTech, Novo Nordisk — demonstrates an organization that learns from and cooperates with industry leaders rather than competing to destroy them [1]. The company explicitly licenses its technology platforms to partners, acknowledging that others' commercial capabilities complement its own innovation strengths. This is an infinite competitive mindset — using others' strengths to amplify your own.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Genmab has evolved from a pure royalty-dependent company into a hybrid model with rapidly growing proprietary commercial products (EPKINLY $468M in 2025, proprietary sales +43% in Q1 2026), building its own sales force and market access capabilities [1][2]. This is meaningful strategic adaptation that required new organizational capabilities, but is incremental evolution within the antibody domain rather than a transformative pivot outside its core expertise.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Genmab committed to $2.7-2.9B in 2026 operating expenses for late-stage pipeline investments, accepting near-term profit compression (Q1 2026 profit margin fell to 5.9% from 27%) to advance petosemtamab, Rina-S, and other candidates [1][2]. This demonstrates willingness to invest through earnings pressure for long-term pipeline value. However, the royalty revenue stream from DARZALEX provides a financial cushion that somewhat reduces the relative risk of these investments.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Genmab is a premier antibody engineering platform company generating $3.72B in 2025 revenue (up 19% YoY), anchored by DARZALEX royalties (~$2.5B from $14.3B J&amp;J net sales) and rapidly scaling proprietary products EPKINLY ($468M, +67%) and Tivdak [1]. Q1 2026 showed accelerating momentum with revenue of $896M (+25% YoY), royalties up 26% to $742M, and proprietary sales up 43% to $176M [2]. The 2026 guidance of $4.1-4.4B appears conservative relative to Q1 run-rate. At 16.95x forward P/E with ~21% profit margins and a deep late-stage pipeline ($5B+ potential), Genmab is attractively valued for a high-growth biotech with proven commercial execution and a durable DuoBody technology moat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DARZALEX concentration risk and margin compression. DARZALEX royalties represent approximately 67% of 2025 revenue, creating significant dependency on a single J&amp;J-controlled product that will eventually face biosimilar competition [1]. Operating expenses are guided to increase 23-32% in 2026 ($2.7-2.9B vs $2.2B) as Genmab invests in late-stage trials and commercial launch readiness, compressing Q1 2026 profit margin to 5.9% from 27% a year earlier [2]. PEG ratio of 1.89 suggests the stock is not cheap relative to expected growth. The transition from royalty-dependent to self-commercializing company carries execution risk in building sales forces and market access capabilities across multiple geographies simultaneously.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EPKINLY expansion into first-line DLBCL and FL with proprietary sales growing 43% YoY in Q1 2026 — potential to transform from $468M to a multi-billion dollar franchise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Late-stage pipeline readouts for petosemtamab (head &amp; neck cancer) and Rina-S (solid tumors) representing $5B+ in potential pipeline value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Full-year 2026 revenue guidance of $4.1-4.4B appears conservative given Q1 annualized run-rate of $3.6B, creating potential for upward revisions [1][2]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DARZALEX concentration risk — royalties from a single J&amp;J-controlled product represent ~67% of revenue, with eventual biosimilar competition threatening the franchise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Operating expense ramp of 23-32% in 2026 for pipeline investments compressed Q1 profit margin to 5.9%, with clinical trial failures representing binary risk to the substantial R&amp;D bet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Genmab's transition from royalty-dependent to self-commercializing company requires building new organizational capabilities in a competitive oncology market with uncertain execution outcomes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Genmab's core business — discovering, developing, and commercializing antibody-based therapeutics — is structurally immune to AI disruption. Drug development requires wet-lab biology, multi-year clinical trials with human patients, FDA/EMA regulatory approval, and physical manufacturing of biologic medicines that AI cannot replace [3]. The company's proprietary antibody platforms (DuoBody, HexaBody, DuoHexaBody) represent decades of accumulated biological IP. Partnership contracts with J&amp;J, AbbVie, and Novo Nordisk create contractual moats independent of AI dynamics. No analysts have flagged AI as a disruption risk for Genmab. AI Opportunity (1/1): Genmab is actively deploying AI in drug discovery for target identification and antibody candidate design, calling it a force that will 'turbocharge' their innovation capability [3]. The company invested heavily in change management to integrate AI across its R&amp;D pipeline, which should accelerate preclinical development and reduce costs over time.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Genmab 2025 Annual Report — $3.72B revenue, 19% growth, DARZALEX $14.3B net sales, EPKINLY $468M,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Genmab Q1 2026 Earnings Release — $896M revenue (+25% YoY), royalties $742M, proprietary sales $176M, May 7,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Genmab Corporate Website — AI innovation strategy, executive leadership (CEO van de Winkel since 2010), culture,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Genmab Corporate Responsibility Report 2023, SASB ESG Data Tables,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GMAB Key Statistics: $28.72 price, 21.14x PE, 16.95x Forward PE, 1.89 PEG,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