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GOF</w:t>
      </w:r>
      <w:r>
        <w:rPr>
          <w:rFonts w:ascii="Calibri" w:hAnsi="Calibri"/>
          <w:b/>
          <w:color w:val="1A2010"/>
          <w:sz w:val="40"/>
        </w:rPr>
        <w:t xml:space="preserve">  Guggenheim Strategic Opportunities Fund</w:t>
      </w:r>
    </w:p>
    <w:p>
      <w:pPr>
        <w:spacing w:after="120"/>
      </w:pPr>
      <w:r>
        <w:rPr>
          <w:rFonts w:ascii="Calibri" w:hAnsi="Calibri"/>
          <w:b/>
          <w:color w:val="6E8450"/>
          <w:sz w:val="18"/>
        </w:rPr>
        <w:t>DIVIDEND SLEEVE · 2026-07-26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Guggenheim Strategic Opportunities Fund is a closed-end balanced fund launched in 2007 and managed by Guggenheim Funds Investment Advisors, LLC. The fund seeks to maximize total return through a combination of current income and capital appreciation, investing 92.3% in fixed-income securities (39.5% investment-grade, remainder high-yield) with the balance in equities and derivatives. Uses leverage to enhance returns. Total assets of $2.4B.</w:t>
      </w:r>
    </w:p>
    <w:p>
      <w:r>
        <w:rPr>
          <w:rFonts w:ascii="Calibri" w:hAnsi="Calibri"/>
          <w:b/>
          <w:color w:val="6E8450"/>
          <w:sz w:val="18"/>
        </w:rPr>
        <w:t>https://www.guggenheiminvestments.com/cef/fund/gof</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GOF is a closed-end fund with no proprietary products, technology, or business model innovation — the fund's relative-value fixed-income strategy has remained essentially unchanged since its 2007 inception with no meaningful pivots or product launches [1]. AI Deployment (0/2): No evidence of AI-powered investment tools, AI-driven alpha generation, or quantifiable AI deployment [1]. Market Share (1/2): GOF is one of the most widely followed CEFs in the high-yield income space with $2.4B in total assets, strong retail investor following, and one of the persistently premium-traded CEFs in the market — a distinctive market position [2]. Pipeline (0/2): Closed-end funds do not launch next-generation products; the fund's strategy is static by design. R&amp;D Intensity (1/1): Guggenheim Partners maintains a substantial research team and quantitative analytics capability for portfolio construction and structured credit analysis, above average for the asset management industry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Guggenheim's stated purpose — 'maximize total return through a combination of current income and capital appreciation' — is generic financial boilerplate, interchangeable with thousands of other investment vehicles [1]. No articulation of a purpose beyond financial returns. Community Impact (0/2): No evidence of foundation, charitable programs, or community investment associated with the fund. Employee Retention (0/2): No public data on employee tenure or retention at Guggenheim Funds Investment Advisors; the fund is managed by a team within a larger institution. Insider Buying (1/2): Institutional ownership provides some alignment, and portfolio managers Anne Walsh and James Michal have provided multi-year continuity in fund management, but no meaningful net insider buying by fund officers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closed-end fund, most traditional financial metrics are structurally inapplicable [2]. Infrastructure evaluation centers on dividend sustainability metrics. Payout ratio exceeds 100% — distributions of $0.1821/month ($2.19 annually) are funded partly by return of capital (ROC), systematically eroding NAV [1]. NAV has declined 27% since 2020, from approximately $14.60 to $10.65 per share, demonstrating that the high yield is destroying principal. The fund has paid distributions consistently for ~18 years since inception, the sole strong metric (score: 1.0 at 2x weight). However, zero distribution growth (flat at $0.1821/month for years) and zero 5yr dividend growth CAGR reflect income stagnation. Stock price of $10.91 represents a compressed 3.19% premium to NAV, down from 30%+ premiums in prior years [3]. Liquidity floor passes: 1.1M avg volume x $10.91 = $12.0M daily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GOF operates with a fundamentally finite mindset — it exists to generate high current income for shareholders, not to advance a larger cause. The fund's unsustainable distribution policy, paying out more than it earns through return of capital, prioritizes short-term income satisfaction over long-term NAV preservation. This is the financial equivalent of playing to win this quarter at the expense of endurance.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GOF has no Just Cause beyond maximizing total return. The fund's purpose statement is purely financial and interchangeable with thousands of other investment vehicles [1]. There is no vision of a better future or service-oriented mission. Providing income to investors is a financial transaction, not a Just Cause in Sinek's framework.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Guggenheim Partners is a well-established asset management firm with stable leadership. Portfolio managers Anne Walsh and James Michal provide multi-year continuity in fund management [1]. No evidence of disruptive turnover or cultural problems within the fund management team, but also no evidence of exceptional trust or empowerment. The fund operates within a larger institutional framework where team dynamics are not publicly visible.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CEFs operate in a competitive income space but GOF shows no evidence of learning from rivals or acknowledging competitor strengths [1]. The fund's positioning emphasizes its high yield relative to peers, framing competition as a comparison metric to win retail investor attention rather than a motivation for self-improvement in portfolio management.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GOF has shown some strategic adaptation by adjusting its portfolio mix between fixed income, structured credit, and equity derivatives across market cycles — navigating the 2008 GFC, 2020 COVID crisis, and 2022 rate shock without suspending distributions [1]. However, the core strategy and distribution model have remained fundamentally unchanged since 2007 — the fund has not reinvented itself or pivoted its investment approach in response to evolving market conditions.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Guggenheim maintained GOF's monthly distribution through the 2008 financial crisis, 2020 COVID selloff, and 2022 rate shock, demonstrating commitment to income investors during periods of extreme market stress [1]. However, maintaining an unsustainable 126% payout ratio could be interpreted as the opposite of courage — prioritizing short-term investor satisfaction over the difficult but necessary decision to cut distributions and preserve NAV for long-term fund health.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GOF offers a headline-grabbing 19.9% distribution yield paid monthly, appealing to income-focused investors seeking consistent cash flow [1][2]. The fund has maintained its $0.1821/month distribution for over a decade, demonstrating remarkable consistency through multiple market cycles including the GFC, COVID, and 2022 rate shock. Guggenheim Partners' expertise in structured credit and complex fixed income instruments provides access to illiquid, higher-yielding credit markets not easily accessible to retail investors. The compressed premium to NAV of 3.19% is more attractive than historical levels exceeding 30%, offering better entry pricing for new investors [3]. Total assets of $2.4B and 1.1M average daily volume provide adequate institutional liquidity.</w:t>
      </w:r>
    </w:p>
    <w:p>
      <w:pPr>
        <w:spacing w:after="120"/>
      </w:pPr>
      <w:r>
        <w:rPr>
          <w:rFonts w:ascii="Calibri" w:hAnsi="Calibri"/>
          <w:b w:val="0"/>
          <w:color w:val="3A4A28"/>
          <w:sz w:val="20"/>
        </w:rPr>
        <w:t>The bear case is severe and structural. GOF's 126% payout ratio means distributions are being funded by return of capital, systematically eroding NAV — which has declined 27% since 2020 from ~$14.60 to $10.65 [1][3]. Investors are effectively receiving their own capital back while the underlying asset base shrinks. Zero distribution growth over at least five years and a deteriorating NAV trajectory mean the 19.9% headline yield is a mirage — total return after capital destruction has been substantially negative. The fund operates with leverage that amplifies losses in credit stress or rising rate environments, and with 60.5% of fixed-income holdings below investment grade, a credit cycle downturn could trigger forced selling of illiquid positions. The 2.40% expense ratio further drags on net returns [2]. As a closed-end fund, GOF has no innovation capability, no mission beyond financial returns, and no path to improving its fundamental operating characteristics — it is a static vehicle with structurally deteriorating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Reserve rate cuts could boost the value of GOF's fixed-income portfolio and improve net investment income coverage of the $2.19 annual distribution [1]</w:t>
      </w:r>
    </w:p>
    <w:p>
      <w:pPr>
        <w:spacing w:before="40" w:after="40"/>
        <w:ind w:left="283"/>
      </w:pPr>
      <w:r>
        <w:rPr>
          <w:rFonts w:ascii="Calibri" w:hAnsi="Calibri"/>
          <w:b/>
          <w:color w:val="4A6B25"/>
          <w:sz w:val="20"/>
        </w:rPr>
        <w:t xml:space="preserve">2. </w:t>
      </w:r>
      <w:r>
        <w:rPr>
          <w:rFonts w:ascii="Calibri" w:hAnsi="Calibri"/>
          <w:b w:val="0"/>
          <w:color w:val="3A4A28"/>
          <w:sz w:val="20"/>
        </w:rPr>
        <w:t>Tightening credit spreads in 2026 would increase the market value of the fund's below-investment-grade and structured credit holdings, supporting NAV recovery</w:t>
      </w:r>
    </w:p>
    <w:p>
      <w:pPr>
        <w:spacing w:before="40" w:after="40"/>
        <w:ind w:left="283"/>
      </w:pPr>
      <w:r>
        <w:rPr>
          <w:rFonts w:ascii="Calibri" w:hAnsi="Calibri"/>
          <w:b/>
          <w:color w:val="4A6B25"/>
          <w:sz w:val="20"/>
        </w:rPr>
        <w:t xml:space="preserve">3. </w:t>
      </w:r>
      <w:r>
        <w:rPr>
          <w:rFonts w:ascii="Calibri" w:hAnsi="Calibri"/>
          <w:b w:val="0"/>
          <w:color w:val="3A4A28"/>
          <w:sz w:val="20"/>
        </w:rPr>
        <w:t>Premium compression to 3.19% from historical 30%+ levels provides more attractive entry pricing; further compression to NAV or a discount would represent better value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Payout ratio of 126% is structurally unsustainable — continued return of capital distributions will erode NAV and eventually force a distribution cut, which historically causes 15-25% price declines in CEFs [1]</w:t>
      </w:r>
    </w:p>
    <w:p>
      <w:pPr>
        <w:spacing w:before="40" w:after="40"/>
        <w:ind w:left="283"/>
      </w:pPr>
      <w:r>
        <w:rPr>
          <w:rFonts w:ascii="Calibri" w:hAnsi="Calibri"/>
          <w:b/>
          <w:color w:val="4A6B25"/>
          <w:sz w:val="20"/>
        </w:rPr>
        <w:t xml:space="preserve">2. </w:t>
      </w:r>
      <w:r>
        <w:rPr>
          <w:rFonts w:ascii="Calibri" w:hAnsi="Calibri"/>
          <w:b w:val="0"/>
          <w:color w:val="3A4A28"/>
          <w:sz w:val="20"/>
        </w:rPr>
        <w:t>NAV has declined 27% since 2020 from ~$14.60 to $10.65, demonstrating that the 19.9% headline yield does not compensate for principal destruction — total return has been deeply negative [3]</w:t>
      </w:r>
    </w:p>
    <w:p>
      <w:pPr>
        <w:spacing w:before="40" w:after="40"/>
        <w:ind w:left="283"/>
      </w:pPr>
      <w:r>
        <w:rPr>
          <w:rFonts w:ascii="Calibri" w:hAnsi="Calibri"/>
          <w:b/>
          <w:color w:val="4A6B25"/>
          <w:sz w:val="20"/>
        </w:rPr>
        <w:t xml:space="preserve">3. </w:t>
      </w:r>
      <w:r>
        <w:rPr>
          <w:rFonts w:ascii="Calibri" w:hAnsi="Calibri"/>
          <w:b w:val="0"/>
          <w:color w:val="3A4A28"/>
          <w:sz w:val="20"/>
        </w:rPr>
        <w:t>Leverage amplifies downside in credit stress scenarios; with 60.5% of fixed-income holdings below investment grade, a high-yield selloff or liquidity crisis could trigger forced selling at distressed prices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GOF's core business — allocating capital across fixed income, structured credit, and equity markets — faces limited direct AI disruption risk [1]. AI cannot replace the need for bond markets, credit instruments, or equity capital formation. The fund's focus on complex structured credit and leveraged relative-value strategies involves illiquid, relationship-driven markets less susceptible to full algorithmic automation. However, AI-driven quant funds and algorithmic trading create increasing competitive pressure on traditional active management, and AI could compress the alpha opportunity in fixed-income markets over time. AI Opportunity (1/1): Guggenheim Partners leverages quantitative analytics and data-driven models in portfolio construction and risk management across its $2.4B asset base, generating measurable portfolio management efficiency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Guggenheim Investments — GOF Fund Overview, Distribution Information, Portfolio Composition, and NAV Data,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 / Yahoo Finance — GOF key statistics, expense ratio, dividend data,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Seeking Alpha / CEF Data — GOF Premium to NAV Analysis, Historical NAV Trend, Distribution Sustainability,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