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GPUS</w:t>
      </w:r>
      <w:r>
        <w:rPr>
          <w:rFonts w:ascii="Calibri" w:hAnsi="Calibri"/>
          <w:b/>
          <w:color w:val="1A2010"/>
          <w:sz w:val="40"/>
        </w:rPr>
        <w:t xml:space="preserve">  Hyperscale Data, Inc.</w:t>
      </w:r>
    </w:p>
    <w:p>
      <w:pPr>
        <w:spacing w:after="120"/>
      </w:pPr>
      <w:r>
        <w:rPr>
          <w:rFonts w:ascii="Calibri" w:hAnsi="Calibri"/>
          <w:b/>
          <w:color w:val="6E8450"/>
          <w:sz w:val="18"/>
        </w:rPr>
        <w:t>GROWTH SLEEVE · 2026-08-15 · Inspire: 47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Hyperscale Data is a diversified holding company operating across AI data centers and colocation (Sentinum), Bitcoin mining, crane rental (Ballista/Gresham), commercial lending (Ault Lending), and defense electronics (Gresham Worldwide). H1 2026 revenue grew approximately 57% YoY to ~$80M, driven by the reconsolidation of Gresham Worldwide and financial-services momentum; full-year 2026 guidance was reaffirmed at $180-200M. The company is building a Michigan AI data center campus, partly funded by selling down its Bitcoin treasury, while facing a class-action lawsuit from Dowagiac, Michigan residents over noise and land-acquisition transparency.</w:t>
      </w:r>
    </w:p>
    <w:p>
      <w:r>
        <w:rPr>
          <w:rFonts w:ascii="Calibri" w:hAnsi="Calibri"/>
          <w:b/>
          <w:color w:val="6E8450"/>
          <w:sz w:val="18"/>
        </w:rPr>
        <w:t>562 Employees · https://hyperscaledata.com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Hyperscale Data's ~57% H1 2026 revenue growth is driven primarily by the reconsolidation of the Gresham Worldwide subsidiary and financial-services momentum rather than organic AI-data-center product traction, and the company's revenue history (FY2021 $52.4M to a FY2023 peak of $134.9M, then declining to $102.1M by FY2025) reflects volatility from portfolio reshuffling rather than a proven, repeatable growth engine [1][4]. AI Deployment (1/2): A Michigan AI data center campus is under construction and Alliance Cloud Services signed a Master Services Agreement for 20MW of AI compute capacity with a neocloud provider, but this is early-stage build-out with no meaningful AI-specific revenue reported yet [1][2]. Market Share (0/2): Hyperscale Data is a small player (~$45M market cap) in an already-crowded field of bitcoin miners pivoting to AI data centers (TeraWulf, Applied Digital, and others), with no differentiated share position demonstrated [2]. Product Pipeline (1/2): The Michigan campus expansion is specifically named and underway, but is contested by a resident class-action lawsuit over noise and land acquisition, adding real execution and community risk to the timeline [3]. R&amp;D Intensity (0/1): As a diversified holding company spanning bitcoin mining, crane rental, and lending, no evidence of above-industry R&amp;D spend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Hyperscale Data's positioning as an 'AI data center platform' reads as generic and opportunistic given the company's history of pivoting across bitcoin mining, crane rental, commercial lending, and now AI infrastructure — a pattern consistent with other Ault-family-affiliated entities chasing whatever capital-markets narrative is ascendant, rather than a distinctive, consistently-held purpose [2]. Community Impact (0/2): The company is in active conflict with the community around its Dowagiac, Michigan data center campus — residents filed a class-action lawsuit over noise and land acquisition and cited a 'lack of transparency' from the company and its Alliance Cloud Services subsidiary at a public meeting [3]. Employee Retention (0/2): Milton 'Todd' Ault III's stepping down as an officer in 2025 signals leadership instability at the top of the organization, with no offsetting retention data for the 562-person workforce [2]. Insider Buying (0/2): No evidence of insider buying was found; the company's capital structure history (typical of Ault-affiliated micro-caps) includes shareholder dilution via equity offerings rather than insider conviction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metrics are strong: H1 2026 revenue grew ~57% YoY and the 5-year revenue CAGR is approximately 18% (FY2021 $52.4M to FY2025 $102.1M), both above the 10% target [1][4]. D/E of 110% is above the 70% target but well short of the 300% floor, scoring partial credit. ROE of -165.84% and profit margin of -76.04% both hit their zero floors, reflecting the company's history of losses and a 'Z-score under 3' bankruptcy-risk flag noted by data providers. Forward P/E and PEG are not available and were excluded from the weighted sum. Liquidity clears the $1M floor but narrowly: at a $0.0936 stock price and ~26.5M shares/day average volume, daily dollar volume is approximately $2.48M.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Hyperscale Data exhibits the hallmarks of a finite-game player: a multi-year pattern of pivoting across unrelated business lines (bitcoin mining, crane rental, commercial lending, now AI data centers) chasing whichever narrative capital markets are rewarding, active community distrust and litigation at its flagship AI data center site, and a recent CEO/Chairman transition within the Ault-affiliated corporate family. There is no evidence of a consistent, resilient cause guiding these decisions, nor of leadership absorbing near-term cost for a principled long-term position.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genuine, resilient cause was identified beyond monetizing whichever asset class is currently attracting capital — the company's history of shifting from bitcoin mining to crane rental to commercial lending to AI data centers reads as opportunistic capital allocation rather than a service-oriented vision of a better future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Milton 'Todd' Ault III stepping down as an officer, combined with an active resident class-action lawsuit alleging a 'lack of transparency' from the company around its Michigan data center campus, points to trust deficits both internally and with the surrounding community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Hyperscale Data publicly framing competitors (TeraWulf, Applied Digital, and other bitcoin-to-AI pivot peers) as worthy rivals pushing self-improvement; public commentary focuses on the company's own capacity build-out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genuinely reinvented its business mix multiple times — from bitcoin mining toward AI data centers, alongside crane rental and lending — but the pattern reads as chasing sequential capital-markets trends rather than a coherent, cause-driven transformation, limiting this to partial credit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Selling down the company's Bitcoin treasury to fund the Michigan AI campus build-out is a reactive capital reallocation tied to market conditions and financing needs, and the recent $26.6M litigation settlement cash inflow appears to be used opportunistically rather than reflecting a pattern of principled, self-sacrificing long-term bets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Hyperscale Data is executing a capital-markets-favored pivot from bitcoin mining toward AI data center infrastructure, with H1 2026 revenue up approximately 57% YoY to ~$80M and full-year 2026 guidance reaffirmed at $180-200M, plus a preliminary 2027 outlook exceeding $300M [1]. The company received a $26.6M cash inflow from a litigation settlement and is redeploying part of its Bitcoin treasury into the Michigan AI campus build-out, alongside a 20MW Master Services Agreement with a neocloud provider — tangible steps toward the AI infrastructure narrative that has re-rated peer bitcoin miners [1][2]. Revenue growth metrics score well in the mechanical Infrastructure algorithm, and the Inspire Impact Score of +47 (ALIGNED) is a rare positive faith-alignment signal among this batch.</w:t>
      </w:r>
    </w:p>
    <w:p>
      <w:pPr>
        <w:spacing w:after="120"/>
      </w:pPr>
      <w:r>
        <w:rPr>
          <w:rFonts w:ascii="Calibri" w:hAnsi="Calibri"/>
          <w:b w:val="0"/>
          <w:color w:val="3A4A28"/>
          <w:sz w:val="20"/>
        </w:rPr>
        <w:t>The bear case is substantial and structural. Hyperscale Data is part of the Ault-affiliated family of micro-cap holding companies with a documented history of shifting between unrelated business lines (bitcoin mining, crane rental, commercial lending, now AI data centers) — a pattern more consistent with capturing whichever narrative markets reward than with disciplined capital allocation [1][2]. ROE of -165.84% and profit margin of -76.04% both sit at their scoring floors, D/E of 110% is well above target, and data providers flag a 'Z-score under 3' bankruptcy-risk indicator [4]. The company's flagship AI data center project in Dowagiac, Michigan is the subject of an active resident class-action lawsuit over noise and land-acquisition transparency, with the CEO having to publicly address hundreds of skeptical residents — a governance and execution red flag for the project underpinning the growth thesis [3]. Milton 'Todd' Ault III's 2025 exit as an officer adds leadership-transition uncertainty within the closely-held Ault corporate family structure. At a stock price of $0.0936 and daily dollar volume of roughly $2.48M, the stock trades only narrowly above the IOWN liquidity floor, leaving thin cushion against further deterioration in trading activity.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build-out of the Michigan AI data center campus and the 20MW Master Services Agreement with a neocloud provider could begin generating disclosed AI-specific revenue, which would materially improve the AI Opportunity component of the score if realized [1][2]</w:t>
      </w:r>
    </w:p>
    <w:p>
      <w:pPr>
        <w:spacing w:before="40" w:after="40"/>
        <w:ind w:left="283"/>
      </w:pPr>
      <w:r>
        <w:rPr>
          <w:rFonts w:ascii="Calibri" w:hAnsi="Calibri"/>
          <w:b/>
          <w:color w:val="4A6B25"/>
          <w:sz w:val="20"/>
        </w:rPr>
        <w:t xml:space="preserve">2. </w:t>
      </w:r>
      <w:r>
        <w:rPr>
          <w:rFonts w:ascii="Calibri" w:hAnsi="Calibri"/>
          <w:b w:val="0"/>
          <w:color w:val="3A4A28"/>
          <w:sz w:val="20"/>
        </w:rPr>
        <w:t>Reaffirmed 2026 revenue guidance of $180-200M with a preliminary 2027 outlook exceeding $300M, if delivered, would validate the Gresham Worldwide reconsolidation and financial-services growth underlying H1 2026's 57% YoY increase [1]</w:t>
      </w:r>
    </w:p>
    <w:p>
      <w:pPr>
        <w:spacing w:before="40" w:after="40"/>
        <w:ind w:left="283"/>
      </w:pPr>
      <w:r>
        <w:rPr>
          <w:rFonts w:ascii="Calibri" w:hAnsi="Calibri"/>
          <w:b/>
          <w:color w:val="4A6B25"/>
          <w:sz w:val="20"/>
        </w:rPr>
        <w:t xml:space="preserve">3. </w:t>
      </w:r>
      <w:r>
        <w:rPr>
          <w:rFonts w:ascii="Calibri" w:hAnsi="Calibri"/>
          <w:b w:val="0"/>
          <w:color w:val="3A4A28"/>
          <w:sz w:val="20"/>
        </w:rPr>
        <w:t>The $26.6M litigation settlement cash inflow provides near-term balance-sheet flexibility to fund the AI campus build-out without further diluting shareholders or drawing down the remaining Bitcoin treasury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An active class-action lawsuit from Dowagiac, Michigan residents over noise and land-acquisition transparency directly threatens the flagship AI data center project that underpins the entire investment thesis, with the CEO forced to publicly address hundreds of skeptical residents [3]</w:t>
      </w:r>
    </w:p>
    <w:p>
      <w:pPr>
        <w:spacing w:before="40" w:after="40"/>
        <w:ind w:left="283"/>
      </w:pPr>
      <w:r>
        <w:rPr>
          <w:rFonts w:ascii="Calibri" w:hAnsi="Calibri"/>
          <w:b/>
          <w:color w:val="4A6B25"/>
          <w:sz w:val="20"/>
        </w:rPr>
        <w:t xml:space="preserve">2. </w:t>
      </w:r>
      <w:r>
        <w:rPr>
          <w:rFonts w:ascii="Calibri" w:hAnsi="Calibri"/>
          <w:b w:val="0"/>
          <w:color w:val="3A4A28"/>
          <w:sz w:val="20"/>
        </w:rPr>
        <w:t>ROE of -165.84%, profit margin of -76.04%, and a data-provider-flagged 'Z-score under 3' bankruptcy-risk indicator show a company with a fragile balance sheet despite headline revenue growth [4]</w:t>
      </w:r>
    </w:p>
    <w:p>
      <w:pPr>
        <w:spacing w:before="40" w:after="40"/>
        <w:ind w:left="283"/>
      </w:pPr>
      <w:r>
        <w:rPr>
          <w:rFonts w:ascii="Calibri" w:hAnsi="Calibri"/>
          <w:b/>
          <w:color w:val="4A6B25"/>
          <w:sz w:val="20"/>
        </w:rPr>
        <w:t xml:space="preserve">3. </w:t>
      </w:r>
      <w:r>
        <w:rPr>
          <w:rFonts w:ascii="Calibri" w:hAnsi="Calibri"/>
          <w:b w:val="0"/>
          <w:color w:val="3A4A28"/>
          <w:sz w:val="20"/>
        </w:rPr>
        <w:t>The stock's history of business-line pivots (bitcoin mining, crane rental, lending, now AI data centers) within the Ault-affiliated corporate family, combined with a recent officer transition, raises governance and capital-allocation-discipline concerns independent of the AI data center narrative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Hyperscale Data's core businesses — physical data center/colocation infrastructure, bitcoin mining, crane rental, and commercial lending — are structurally protected from AI substitution and, in the case of the AI data center pivot, stand to directly benefit from rising AI compute demand rather than being threatened by it [1][2]. This does not reach the top tier because the company's AI data center business is unproven at scale, and its historical core (bitcoin mining) faces its own separate commoditization and energy-cost risk unrelated to AI. AI Opportunity (0/1): The 20MW Master Services Agreement with a neocloud provider and the Michigan AI campus represent stated intent to capture AI-infrastructure revenue, but no AI-specific revenue has yet been broken out or quantified in reporting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Hyperscale Data H1/Q1 2026 Revenue Announcements and 2026-2027 Guidance — PRNewswire, GuruFocus, SEC 8-K Filings, July-August 2026</w:t>
      </w:r>
    </w:p>
    <w:p>
      <w:pPr>
        <w:spacing w:before="20" w:after="20"/>
        <w:ind w:left="170"/>
      </w:pPr>
      <w:r>
        <w:rPr>
          <w:rFonts w:ascii="Calibri" w:hAnsi="Calibri"/>
          <w:b/>
          <w:color w:val="4A6B25"/>
          <w:sz w:val="15"/>
        </w:rPr>
        <w:t xml:space="preserve">2. </w:t>
      </w:r>
      <w:r>
        <w:rPr>
          <w:rFonts w:ascii="Calibri" w:hAnsi="Calibri"/>
          <w:b w:val="0"/>
          <w:color w:val="3A4A28"/>
          <w:sz w:val="17"/>
        </w:rPr>
        <w:t>Hyperscale Data AI Data Center Strategy — CEO William Horne, Michigan Campus, Bitcoin Treasury Reallocation, Alliance Cloud Services 20MW MSA — The Block, SEC filings, 2026</w:t>
      </w:r>
    </w:p>
    <w:p>
      <w:pPr>
        <w:spacing w:before="20" w:after="20"/>
        <w:ind w:left="170"/>
      </w:pPr>
      <w:r>
        <w:rPr>
          <w:rFonts w:ascii="Calibri" w:hAnsi="Calibri"/>
          <w:b/>
          <w:color w:val="4A6B25"/>
          <w:sz w:val="15"/>
        </w:rPr>
        <w:t xml:space="preserve">3. </w:t>
      </w:r>
      <w:r>
        <w:rPr>
          <w:rFonts w:ascii="Calibri" w:hAnsi="Calibri"/>
          <w:b w:val="0"/>
          <w:color w:val="3A4A28"/>
          <w:sz w:val="17"/>
        </w:rPr>
        <w:t>Hyperscale Data Community Litigation — Dowagiac, Michigan Class Action Lawsuit Over Noise and Land Acquisition; $26.6M Litigation Settlement — WWMT News, StockTitan, April-2026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GPUS Key Statistics and Financials: ROE -165.84%, Profit Margin -76.04%, D/E 1.10, Stock Price $0.0936,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