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GSIT</w:t>
      </w:r>
      <w:r>
        <w:rPr>
          <w:rFonts w:ascii="Calibri" w:hAnsi="Calibri"/>
          <w:b/>
          <w:color w:val="1A2010"/>
          <w:sz w:val="40"/>
        </w:rPr>
        <w:t xml:space="preserve">  GSI Technology, Inc.</w:t>
      </w:r>
    </w:p>
    <w:p>
      <w:pPr>
        <w:spacing w:after="120"/>
      </w:pPr>
      <w:r>
        <w:rPr>
          <w:rFonts w:ascii="Calibri" w:hAnsi="Calibri"/>
          <w:b/>
          <w:color w:val="6E8450"/>
          <w:sz w:val="18"/>
        </w:rPr>
        <w:t>GROWTH SLEEVE · 2026-07-26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GSI Technology designs, develops, and markets high-performance SRAM semiconductor products and is commercializing the Gemini Associative Processing Unit (APU), a compute-in-memory architecture for AI edge computing. The Gemini platform performs massive parallel processing directly in memory, achieving GPU-class AI performance at dramatically lower energy consumption. Cornell University validated the chip's energy efficiency in 2026, and the company plans pilot shipments in calendar 2026. Headquartered in Sunnyvale, California.</w:t>
      </w:r>
    </w:p>
    <w:p>
      <w:r>
        <w:rPr>
          <w:rFonts w:ascii="Calibri" w:hAnsi="Calibri"/>
          <w:b/>
          <w:color w:val="6E8450"/>
          <w:sz w:val="18"/>
        </w:rPr>
        <w:t>https://gsitechnology.com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GSI Technology grew full-year FY2026 revenue 22.4% to $25.1M, driven by SRAM demand supporting AI chip design and simulation customers [1]. The Gemini APU received independent validation from Cornell University, triggering a 133.5% stock surge and confirming the compute-in-memory architecture's energy efficiency claims [3]. However, Gemini revenue remains pre-commercial with pilot shipments still pending. AI Deployment (1/2): The Gemini APU is deployed in government-funded proof-of-concept programs including Air and Space Force edge computing feasibility studies with G2 Tech, but production deployments have not yet commenced and pilot shipments are targeted for the latter half of calendar 2026 [2][4]. Market Share (1/2): GSI is a niche player in the SRAM market with $25.1M annual revenue, holding a specialized position in the emerging compute-in-memory category with limited direct competition at the edge, but lacking dominant share in any major semiconductor segment [1]. Pipeline (2/2): Gemini-II APU targets the growing edge AI processor market with specific pilot shipment timelines in calendar 2026, government defense contracts provide near-term revenue visibility, and $67.2M cash provides funded runway for commercialization [1][2]. R&amp;D Intensity (1/1): Operating expenses increased 48.6% YoY driven by R&amp;D spending on Gemini platform development, representing aggressive investment for a company of this scale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GSI's purpose of enabling energy-efficient AI computing at the edge addresses a genuine sustainability challenge — reducing AI energy consumption dramatically — but the articulation remains product-focused rather than cause-driven, centered on technical capabilities rather than a vision of a better future [3]. Community Impact (0/2): No evidence of charitable giving, community programs, or social impact initiatives beyond academic collaborations with UC Riverside for next-gen CIM capabilities [4]. Employee Retention (1/2): CEO Lee-Lean Shu has led the company since co-founding in 1995 — a 31-year tenure — and the management team averages 25.6 years of tenure, indicating extraordinary organizational stability and commitment to the long-term vision [5]. Insider Buying (0/2): No evidence of meaningful open-market insider purchases by executives was identified in public filings or transaction records.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GSI Technology's balance sheet is cash-rich with $67.2M following the $50M registered direct offering, against minimal debt (D/E ~10%) [1]. However, the company remains deeply unprofitable with -42.6% net profit margin (-$10.7M net loss on $25.1M revenue) and negative ROE of approximately -18% [1][2]. Gross margin improved substantially to 54.5% from 49% in the prior year, showing progress toward operational efficiency, but the 48.6% increase in operating expenses widened the net loss despite 22.4% revenue growth [2]. Forward P/E is negative (expected losses continue). Revenue growth of 22.4% scores well, but negative profitability metrics (ROE, profit margin) and negative forward P/E drag the mechanical calculation to 3/10. Liquidity floor passed: ~1.5M avg daily volume x $6.90 = $10.4M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GSI Technology under 31-year CEO Lee-Lean Shu demonstrates genuine infinite game thinking — the Gemini APU represents a decade-long bet on compute-in-memory architecture now being validated by Cornell and the AI revolution. The company's willingness to invest aggressively (R&amp;D up 48.6%) while remaining deeply unprofitable, and to maintain its SRAM cash flow business while building the next platform, shows commitment to a cause beyond quarterly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GSI's vision of democratizing AI by enabling GPU-class performance at dramatically lower energy consumption at the edge is a genuine and distinctive cause validated by Cornell's independent confirmation [3]. CEO Lee-Lean Shu has consistently articulated that AI computing cannot rely solely on centralized, power-hungry data centers, and that compute-in-memory is a paradigm shift. This cause has been pursued through 31 years of SRAM expertise evolving into CIM architecture, with the founding vision now being validated by external institutions and government programs. Two weighted points for a genuine cause partially lived through sustained R&amp;D investment.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management team's average tenure of 25.6 years is extraordinary and suggests deep organizational trust and stability [5]. CEO Lee-Lean Shu has led since co-founding in 1995 — a 31-year tenure reflecting consistent leadership and vision continuity. The addition of Elizabeth Cholawsky to the board of directors brings fresh external perspective [5]. One weighted point for adequate trust evidenced by exceptional leadership tenure.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GSI explicitly benchmarks against NVIDIA (A6000 GPU) in performance comparisons, using the rival's strength to demonstrate Gemini's complementary energy efficiency advantage rather than attempting to compete head-on in data centers [3][4]. The company acknowledges GPU dominance while positioning CIM as complementary for edge applications — framing competition as motivation to improve rather than a war to win. One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GSI's pivot from a legacy SRAM supplier to an AI compute-in-memory company represents meaningful strategic evolution, though the SRAM business still generates all current revenue while Gemini awaits pilot shipments [1][2]. The 22.4% revenue growth in SRAM driven by AI customers shows the legacy business adapting to new demand. The $50M capital raise and $67.2M cash position signal commitment to the Gemini transformation. This is incremental flexibility — evolving a core technology competency into a new application — rather than transformative reinvention. One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Increasing R&amp;D spending 48.6% while operating at -42.6% net profit margin demonstrates willingness to sacrifice near-term profitability for long-term capability [1][2]. The company accepted the dilution of a $50M offering to fund the Gemini roadmap rather than cutting R&amp;D to reach profitability. Operating losses widened to $10.7M even as revenue grew 22.4%, indicating a deliberate choice to invest through losses. One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GSI Technology delivered 22.4% full-year FY2026 revenue growth to $25.1M with gross margin expanding to 54.5% from 49%, driven by SRAM demand from AI chip design and simulation customers [1]. Cornell University's independent validation of the Gemini APU's energy efficiency (triggering a 133.5% stock surge) provides critical third-party credibility for the compute-in-memory technology [3]. With $67.2M cash, pilot shipments planned for calendar 2026, and government contracts providing near-term revenue visibility, GSI is positioned at the inflection point between R&amp;D investment and commercialization. At $264M market cap with $67.2M cash ($197M enterprise value), the market is pricing in modest Gemini upside. The structural tailwind of edge AI demand and energy efficiency requirements could drive significant revaluation if pilot deployments convert to production orders.</w:t>
      </w:r>
    </w:p>
    <w:p>
      <w:pPr>
        <w:spacing w:after="120"/>
      </w:pPr>
      <w:r>
        <w:rPr>
          <w:rFonts w:ascii="Calibri" w:hAnsi="Calibri"/>
          <w:b w:val="0"/>
          <w:color w:val="3A4A28"/>
          <w:sz w:val="20"/>
        </w:rPr>
        <w:t>The bear case centers on persistent unprofitability and execution risk. Net losses widened to $10.7M in FY2026 despite 22.4% revenue growth, as operating expenses surged 48.6% — the company is spending faster than it's growing [2]. The $25.1M annual revenue base remains a fraction of semiconductor competitors (NVIDIA alone spends more on R&amp;D in a single day), creating vulnerability to customer concentration and supply chain disruptions in Taiwan [1]. Gemini pilot shipments have been repeatedly delayed — 'planned for calendar 2026' has been the message for multiple quarters without confirmed customer commitments or production volume targets. Competition from NVIDIA, AMD, Intel, and edge AI startups (Hailo, Syntiant, Brainchip) with vastly larger R&amp;D budgets could marginalize Gemini before commercialization. The 52-week range of $2.82-$18.15 reflects extreme speculation-driven volatility rather than fundamental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Gemini APU pilot shipments converting to production orders in H2 calendar 2026 would validate the technology commercially and establish the first meaningful AI hardware revenue stream [2]</w:t>
      </w:r>
    </w:p>
    <w:p>
      <w:pPr>
        <w:spacing w:before="40" w:after="40"/>
        <w:ind w:left="283"/>
      </w:pPr>
      <w:r>
        <w:rPr>
          <w:rFonts w:ascii="Calibri" w:hAnsi="Calibri"/>
          <w:b/>
          <w:color w:val="4A6B25"/>
          <w:sz w:val="20"/>
        </w:rPr>
        <w:t xml:space="preserve">2. </w:t>
      </w:r>
      <w:r>
        <w:rPr>
          <w:rFonts w:ascii="Calibri" w:hAnsi="Calibri"/>
          <w:b w:val="0"/>
          <w:color w:val="3A4A28"/>
          <w:sz w:val="20"/>
        </w:rPr>
        <w:t>Government defense contracts (Air and Space Force edge computing) moving from proof-of-concept to production programs with specific dollar values and delivery timelines [4]</w:t>
      </w:r>
    </w:p>
    <w:p>
      <w:pPr>
        <w:spacing w:before="40" w:after="40"/>
        <w:ind w:left="283"/>
      </w:pPr>
      <w:r>
        <w:rPr>
          <w:rFonts w:ascii="Calibri" w:hAnsi="Calibri"/>
          <w:b/>
          <w:color w:val="4A6B25"/>
          <w:sz w:val="20"/>
        </w:rPr>
        <w:t xml:space="preserve">3. </w:t>
      </w:r>
      <w:r>
        <w:rPr>
          <w:rFonts w:ascii="Calibri" w:hAnsi="Calibri"/>
          <w:b w:val="0"/>
          <w:color w:val="3A4A28"/>
          <w:sz w:val="20"/>
        </w:rPr>
        <w:t>SRAM revenue continuing 20%+ growth trajectory as AI chip design and simulation demand accelerates across the semiconductor industry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net loss widened to $10.7M despite 22.4% revenue growth, with operating expenses growing faster (48.6%) than revenue, consuming the $67.2M cash runway [1][2]</w:t>
      </w:r>
    </w:p>
    <w:p>
      <w:pPr>
        <w:spacing w:before="40" w:after="40"/>
        <w:ind w:left="283"/>
      </w:pPr>
      <w:r>
        <w:rPr>
          <w:rFonts w:ascii="Calibri" w:hAnsi="Calibri"/>
          <w:b/>
          <w:color w:val="4A6B25"/>
          <w:sz w:val="20"/>
        </w:rPr>
        <w:t xml:space="preserve">2. </w:t>
      </w:r>
      <w:r>
        <w:rPr>
          <w:rFonts w:ascii="Calibri" w:hAnsi="Calibri"/>
          <w:b w:val="0"/>
          <w:color w:val="3A4A28"/>
          <w:sz w:val="20"/>
        </w:rPr>
        <w:t>Gemini commercialization delays — pilot shipments have been targeted for calendar 2026 for multiple quarters without confirmed customer commitments, volume targets, or pricing [2]</w:t>
      </w:r>
    </w:p>
    <w:p>
      <w:pPr>
        <w:spacing w:before="40" w:after="40"/>
        <w:ind w:left="283"/>
      </w:pPr>
      <w:r>
        <w:rPr>
          <w:rFonts w:ascii="Calibri" w:hAnsi="Calibri"/>
          <w:b/>
          <w:color w:val="4A6B25"/>
          <w:sz w:val="20"/>
        </w:rPr>
        <w:t xml:space="preserve">3. </w:t>
      </w:r>
      <w:r>
        <w:rPr>
          <w:rFonts w:ascii="Calibri" w:hAnsi="Calibri"/>
          <w:b w:val="0"/>
          <w:color w:val="3A4A28"/>
          <w:sz w:val="20"/>
        </w:rPr>
        <w:t>Competition from NVIDIA, AMD, Intel, and edge AI startups with R&amp;D budgets exceeding GSI's entire market cap could marginalize the Gemini platform before it achieves commercial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GSI Technology IS an AI infrastructure company — its Gemini APU is purpose-built for AI edge computing, and its legacy SRAM products are experiencing 22.4% revenue growth specifically because of AI chip design and simulation demand [1]. AI does not threaten GSI; AI IS GSI's growth driver. The compute-in-memory architecture addresses the fundamental memory-processor I/O bottleneck that becomes more critical as AI models grow. Cornell University's independent validation confirmed the energy efficiency claims, and government AI programs (Air and Space Force) provide additional demand visibility [3][4]. Physical semiconductor manufacturing and proprietary CIM architecture create structural barriers to AI disruption. AI Opportunity (1/1): GSI generates quantifiable AI-related revenue through SRAM products serving AI customers (driving the 22.4% revenue growth) and through Gemini APU government proof-of-concept contracts. Pilot shipments in calendar 2026 could accelerate AI revenue contribution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GSI Technology FY2026 Full-Year Results — $25.1M revenue (22.4% YoY), 54.5% gross margin, $67.2M cash, $10.7M net loss,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GSI Technology Q4 FY2026 Earnings Call — R&amp;D spending up 48.6%, pilot shipments planned for calendar 2026, Investing.com transcript, July 2026</w:t>
      </w:r>
    </w:p>
    <w:p>
      <w:pPr>
        <w:spacing w:before="20" w:after="20"/>
        <w:ind w:left="170"/>
      </w:pPr>
      <w:r>
        <w:rPr>
          <w:rFonts w:ascii="Calibri" w:hAnsi="Calibri"/>
          <w:b/>
          <w:color w:val="4A6B25"/>
          <w:sz w:val="15"/>
        </w:rPr>
        <w:t xml:space="preserve">3. </w:t>
      </w:r>
      <w:r>
        <w:rPr>
          <w:rFonts w:ascii="Calibri" w:hAnsi="Calibri"/>
          <w:b w:val="0"/>
          <w:color w:val="3A4A28"/>
          <w:sz w:val="17"/>
        </w:rPr>
        <w:t>GSI Technology Cornell Validation — 133.5% stock surge on energy-efficient AI chip validation, ainvest.com/Yahoo Finance, 2026</w:t>
      </w:r>
    </w:p>
    <w:p>
      <w:pPr>
        <w:spacing w:before="20" w:after="20"/>
        <w:ind w:left="170"/>
      </w:pPr>
      <w:r>
        <w:rPr>
          <w:rFonts w:ascii="Calibri" w:hAnsi="Calibri"/>
          <w:b/>
          <w:color w:val="4A6B25"/>
          <w:sz w:val="15"/>
        </w:rPr>
        <w:t xml:space="preserve">4. </w:t>
      </w:r>
      <w:r>
        <w:rPr>
          <w:rFonts w:ascii="Calibri" w:hAnsi="Calibri"/>
          <w:b w:val="0"/>
          <w:color w:val="3A4A28"/>
          <w:sz w:val="17"/>
        </w:rPr>
        <w:t>GSI Technology Gemini-II Government Contracts — Air and Space Force edge computing feasibility study, G2 Tech proof-of-concept, HPCwire/IR, 2025-2026</w:t>
      </w:r>
    </w:p>
    <w:p>
      <w:pPr>
        <w:spacing w:before="20" w:after="20"/>
        <w:ind w:left="170"/>
      </w:pPr>
      <w:r>
        <w:rPr>
          <w:rFonts w:ascii="Calibri" w:hAnsi="Calibri"/>
          <w:b/>
          <w:color w:val="4A6B25"/>
          <w:sz w:val="15"/>
        </w:rPr>
        <w:t xml:space="preserve">5. </w:t>
      </w:r>
      <w:r>
        <w:rPr>
          <w:rFonts w:ascii="Calibri" w:hAnsi="Calibri"/>
          <w:b w:val="0"/>
          <w:color w:val="3A4A28"/>
          <w:sz w:val="17"/>
        </w:rPr>
        <w:t>GSI Technology Leadership — CEO Lee-Lean Shu 31-year tenure, Elizabeth Cholawsky board appointment, IR/Craft.co,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