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GSUN</w:t>
      </w:r>
      <w:r>
        <w:rPr>
          <w:rFonts w:ascii="Calibri" w:hAnsi="Calibri"/>
          <w:b/>
          <w:color w:val="1A2010"/>
          <w:sz w:val="40"/>
        </w:rPr>
        <w:t xml:space="preserve">  Golden Sun Technology Group Limited</w:t>
      </w:r>
    </w:p>
    <w:p>
      <w:pPr>
        <w:spacing w:after="120"/>
      </w:pPr>
      <w:r>
        <w:rPr>
          <w:rFonts w:ascii="Calibri" w:hAnsi="Calibri"/>
          <w:b/>
          <w:color w:val="6E8450"/>
          <w:sz w:val="18"/>
        </w:rPr>
        <w:t>GROWTH SLEEVE · 2026-07-26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China</w:t>
      </w:r>
    </w:p>
    <w:p>
      <w:pPr>
        <w:spacing w:after="80"/>
      </w:pPr>
      <w:r>
        <w:rPr>
          <w:rFonts w:ascii="Calibri" w:hAnsi="Calibri"/>
          <w:b w:val="0"/>
          <w:color w:val="3A4A28"/>
          <w:sz w:val="20"/>
        </w:rPr>
        <w:t>Golden Sun Technology Group Limited provides education and e-commerce services in China. The company has pivoted from foreign language tutorial services to data analytics-driven e-commerce marketing and social media promotion on Chinese short-video platforms. Formerly known as Golden Sun Health Technology Group, the company changed its name in February 2026. Founded in 1997, headquartered in Shanghai, with approximately 95 employees. The company faces dual Nasdaq delisting proceedings and a going-concern audit qualification.</w:t>
      </w:r>
    </w:p>
    <w:p>
      <w:r>
        <w:rPr>
          <w:rFonts w:ascii="Calibri" w:hAnsi="Calibri"/>
          <w:b/>
          <w:color w:val="6E8450"/>
          <w:sz w:val="18"/>
        </w:rPr>
        <w:t>95 Employees · https://www.jtyjyjt.com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Golden Sun has undergone serial business model shifts — from education to health technology to e-commerce marketing — reflecting strategic instability rather than deliberate innovation [1][2]. Three name changes in three years (Golden Sun Education to Golden Sun Health Technology to Golden Sun Technology Group) signal an unfocused company chasing trends rather than building durable capabilities. No successful product launches or market pivots have generated sustainable profitability. AI Deployment (0/2): No evidence of AI-powered products or measurable AI deployment; the e-commerce marketing services appear to be traditional social media promotion on Chinese short-video platforms rather than AI-driven solutions [1]. Market Share (1/2): The company operates in China's fragmented e-commerce marketing space with $35.5M FY2025 revenue and 95 employees — a marginal participant with no meaningful market share in any category [1]. Pipeline (0/2): No next-generation products, specific timelines, or revenue pipeline visibility were found in public filings; the company was unable to file its 20-F by the SEC deadline [1]. R&amp;D Intensity (1/1): For a 95-person company, the pivot to e-commerce data analytics suggests some technology investment relative to its micro-cap scale, though no specific R&amp;D spending data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Golden Sun has no articulated mission or purpose statement beyond generic corporate language about 'updated business strategy and future development plans' in the name-change announcement [2]. The company's purpose appears to be finding any revenue stream that can sustain the Nasdaq listing. Chairman/CEO Xueyuan Weng expressed 'commitment to growth and transparency' — boilerplate language interchangeable with any company [2]. Community Impact (0/2): No evidence of charitable programs, community investment, or social impact initiatives was found [3]. Employee Retention (0/2): With only 95 employees, a going-concern qualification from auditors, serial business pivots, and less than one year of cash runway, the operating environment suggests existential instability rather than employee loyalty [1]. Insider Buying (0/2): No insider transaction data is available; no evidence of insider buying was found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At $0.27 stock price and estimated average daily volume of ~2M shares, daily dollar volume is approximately $540K — well below the $1M minimum threshold [4]. Infrastructure score is therefore 0 regardless of other metrics. For context: the company has a $3.47M market cap, $0.8M cash, negative net income (-$5.1M in FY2025), accumulated deficit of $23.6M, and a going-concern qualification from its auditor [1]. Negative ROE (-128.8%) and negative profit margin (-14.3%) reflect ongoing unprofitability despite 483% revenue growth off a tiny base. The company received dual Nasdaq deficiency notices — failing to meet the $2.5M minimum stockholders' equity (February 2025) and trading below $1.00 for 30 consecutive days (April 2026), with compliance deadline of October 12, 2026 [3]. The stock hit an all-time low of $0.22 on July 21,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Golden Sun exhibits quintessentially finite game behavior — serial business pivots (education to health tech to e-commerce), three corporate name changes in three years, dual Nasdaq delisting proceedings, a going-concern qualification, and an inability to file required SEC documents all indicate a company focused on short-term survival rather than building anything enduring. The 1997 founding date belies a company that has reinvented itself repeatedly out of desperation, not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Golden Sun has no identifiable Just Cause. The company has pivoted from education to health technology to e-commerce marketing within three years, changing its name three times to match each new direction [2][3]. CEO Weng's public statements focus on 'growth and transparency' — generic corporate language with no vision of a future worth sacrificing for. This pattern reflects a company chasing revenue wherever it can be found, with no enduring purpose.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95 employees, a going-concern audit qualification, serial business pivots, Nasdaq delisting proceedings, less than one year of cash runway, and failure to file required SEC documents, the organizational environment is defined by existential uncertainty rather than psychological safety [1][3]. No employee retention data, Glassdoor reviews, or cultural information was found for this micro-cap Chinese company.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rival acknowledgment, or strategic learning from competitors was found in any public materials. The company operates in a fragmented Chinese e-commerce marketing space without any articulated competitive positioning or differentiation strategy [1].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Golden Sun has demonstrated extreme flexibility — pivoting from foreign language education to health technology to e-commerce marketing and social media promotion on short-video platforms [1][2]. However, these pivots appear driven by desperation and survival rather than a Just Cause, making them examples of strategic drift rather than Sinek's concept of existential flexibility in service of a higher purpose. The inability to file SEC documents on time further suggests reactive management.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was found. The serial pivots and name changes suggest reactive management responding to external pressures rather than principled long-term investment [2][3]. The company's failure to maintain Nasdaq listing requirements ($2.5M equity, $1.00 minimum bid price) and inability to file its 20-F by the SEC deadline reflect leadership challenges, not courage.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Golden Sun Technology Group reported 483% revenue growth to $35.5M in FY2025, driven by a pivot to e-commerce marketing services on Chinese short-video platforms that now comprise 90%+ of revenue [1]. At a $3.47M market cap — 0.10x trailing revenue — the stock is priced as a distressed asset reflecting near-certain delisting risk. If the e-commerce business achieves profitability and the company resolves its Nasdaq listing deficiencies before the October 2026 deadline, there could be speculative upside from the de minimis valuation.</w:t>
      </w:r>
    </w:p>
    <w:p>
      <w:pPr>
        <w:spacing w:after="120"/>
      </w:pPr>
      <w:r>
        <w:rPr>
          <w:rFonts w:ascii="Calibri" w:hAnsi="Calibri"/>
          <w:b w:val="0"/>
          <w:color w:val="3A4A28"/>
          <w:sz w:val="20"/>
        </w:rPr>
        <w:t>The bear case is overwhelming and existential. The company's auditor has expressed substantial doubt about Golden Sun's ability to continue as a going concern, citing an accumulated deficit of $23.6M, negative cash flow, and minimal cash ($0.8M) [1]. Nasdaq has issued two delisting notices — one for failing to meet the $2.5M stockholders' equity minimum and another for trading below $1.00 for 30 consecutive days, with the compliance deadline of October 12, 2026 approaching [3]. The stock hit an all-time low of $0.22 on July 21, 2026, and the company was unable to file its 20-F by the SEC deadline, adding a third layer of compliance risk [1]. The 483% revenue growth is misleading — it comes off a tiny $6.1M base and the company still lost $5.1M despite the surge, with gross margins of just 2.3% suggesting the e-commerce business has no pricing power. Serial business pivots (education to health tech to e-commerce) and three name changes in three years signal strategic confusion. As a China-based VIE structure with 95 employees, no analyst coverage, and governance transparency concerns, this is a speculative micro-cap facing existential 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revenue scaling with margin improvement — if gross margins improve from 2.3% and the company reaches breakeven, the going-concern doubt could be resolved [1]</w:t>
      </w:r>
    </w:p>
    <w:p>
      <w:pPr>
        <w:spacing w:before="40" w:after="40"/>
        <w:ind w:left="283"/>
      </w:pPr>
      <w:r>
        <w:rPr>
          <w:rFonts w:ascii="Calibri" w:hAnsi="Calibri"/>
          <w:b/>
          <w:color w:val="4A6B25"/>
          <w:sz w:val="20"/>
        </w:rPr>
        <w:t xml:space="preserve">2. </w:t>
      </w:r>
      <w:r>
        <w:rPr>
          <w:rFonts w:ascii="Calibri" w:hAnsi="Calibri"/>
          <w:b w:val="0"/>
          <w:color w:val="3A4A28"/>
          <w:sz w:val="20"/>
        </w:rPr>
        <w:t>Nasdaq compliance restoration by October 12, 2026 deadline — may require a reverse stock split to regain $1.00 minimum bid price and capital raise for $2.5M equity requirement [3]</w:t>
      </w:r>
    </w:p>
    <w:p>
      <w:pPr>
        <w:spacing w:before="40" w:after="40"/>
        <w:ind w:left="283"/>
      </w:pPr>
      <w:r>
        <w:rPr>
          <w:rFonts w:ascii="Calibri" w:hAnsi="Calibri"/>
          <w:b/>
          <w:color w:val="4A6B25"/>
          <w:sz w:val="20"/>
        </w:rPr>
        <w:t xml:space="preserve">3. </w:t>
      </w:r>
      <w:r>
        <w:rPr>
          <w:rFonts w:ascii="Calibri" w:hAnsi="Calibri"/>
          <w:b w:val="0"/>
          <w:color w:val="3A4A28"/>
          <w:sz w:val="20"/>
        </w:rPr>
        <w:t>China consumer e-commerce market expansion on short-video platforms (Douyin, Kuaishou) provides a large addressable market for marketing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Triple-layer compliance risk — going-concern audit qualification, dual Nasdaq delisting proceedings (equity and bid price), and failure to file 20-F by SEC deadline create overlapping existential threats [1][3]</w:t>
      </w:r>
    </w:p>
    <w:p>
      <w:pPr>
        <w:spacing w:before="40" w:after="40"/>
        <w:ind w:left="283"/>
      </w:pPr>
      <w:r>
        <w:rPr>
          <w:rFonts w:ascii="Calibri" w:hAnsi="Calibri"/>
          <w:b/>
          <w:color w:val="4A6B25"/>
          <w:sz w:val="20"/>
        </w:rPr>
        <w:t xml:space="preserve">2. </w:t>
      </w:r>
      <w:r>
        <w:rPr>
          <w:rFonts w:ascii="Calibri" w:hAnsi="Calibri"/>
          <w:b w:val="0"/>
          <w:color w:val="3A4A28"/>
          <w:sz w:val="20"/>
        </w:rPr>
        <w:t>Effective insolvency — $0.8M cash, $23.6M accumulated deficit, less than one year of cash runway, and $3.47M market cap make capital raising extremely dilutive or impossible [1]</w:t>
      </w:r>
    </w:p>
    <w:p>
      <w:pPr>
        <w:spacing w:before="40" w:after="40"/>
        <w:ind w:left="283"/>
      </w:pPr>
      <w:r>
        <w:rPr>
          <w:rFonts w:ascii="Calibri" w:hAnsi="Calibri"/>
          <w:b/>
          <w:color w:val="4A6B25"/>
          <w:sz w:val="20"/>
        </w:rPr>
        <w:t xml:space="preserve">3. </w:t>
      </w:r>
      <w:r>
        <w:rPr>
          <w:rFonts w:ascii="Calibri" w:hAnsi="Calibri"/>
          <w:b w:val="0"/>
          <w:color w:val="3A4A28"/>
          <w:sz w:val="20"/>
        </w:rPr>
        <w:t>AI commoditization of social media marketing — platform-native AI advertising tools from ByteDance, Alibaba, and Kuaishou could eliminate the need for third-party marketing agencies like GSUN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Golden Sun's e-commerce marketing business — providing data-driven promotion and advertising support on Chinese short-video platforms (Douyin, Kuaishou) — faces significant AI disruption risk [1][2]. AI-powered advertising tools from the platforms themselves and from large tech companies (ByteDance, Alibaba, Tencent) can automate the exact social media promotion services that comprise 90%+ of GSUN's revenue. The company's value proposition as an intermediary between SMBs and social media platforms is directly threatened by native AI advertising optimization that eliminates the need for third-party agencies. With only 95 employees and no proprietary technology, GSUN has no defensive moat against AI substitution in this space. The legacy education segment (foreign language tutorials) also faces AI disruption from language learning tools. AI Opportunity (0/1): No evidence of AI revenue generation, AI-powered products, or measurable AI deployment was found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Golden Sun Technology Group FY2025 Annual Report (20-F) — $35.5M revenue, 483% growth, -$5.1M net loss, going-concern qualification, 20-F filing delay, February 2026</w:t>
      </w:r>
    </w:p>
    <w:p>
      <w:pPr>
        <w:spacing w:before="20" w:after="20"/>
        <w:ind w:left="170"/>
      </w:pPr>
      <w:r>
        <w:rPr>
          <w:rFonts w:ascii="Calibri" w:hAnsi="Calibri"/>
          <w:b/>
          <w:color w:val="4A6B25"/>
          <w:sz w:val="15"/>
        </w:rPr>
        <w:t xml:space="preserve">2. </w:t>
      </w:r>
      <w:r>
        <w:rPr>
          <w:rFonts w:ascii="Calibri" w:hAnsi="Calibri"/>
          <w:b w:val="0"/>
          <w:color w:val="3A4A28"/>
          <w:sz w:val="17"/>
        </w:rPr>
        <w:t>Golden Sun Technology Group Corporate Name Change — from Golden Sun Health Technology, e-commerce pivot, CEO Weng statement, February 2026</w:t>
      </w:r>
    </w:p>
    <w:p>
      <w:pPr>
        <w:spacing w:before="20" w:after="20"/>
        <w:ind w:left="170"/>
      </w:pPr>
      <w:r>
        <w:rPr>
          <w:rFonts w:ascii="Calibri" w:hAnsi="Calibri"/>
          <w:b/>
          <w:color w:val="4A6B25"/>
          <w:sz w:val="15"/>
        </w:rPr>
        <w:t xml:space="preserve">3. </w:t>
      </w:r>
      <w:r>
        <w:rPr>
          <w:rFonts w:ascii="Calibri" w:hAnsi="Calibri"/>
          <w:b w:val="0"/>
          <w:color w:val="3A4A28"/>
          <w:sz w:val="17"/>
        </w:rPr>
        <w:t>Nasdaq Listing Deficiency Notices — $2.5M equity minimum (February 2025), $1.00 minimum bid price (April 2026), October 12 2026 compliance deadline, Globe and Mail/Investing.com</w:t>
      </w:r>
    </w:p>
    <w:p>
      <w:pPr>
        <w:spacing w:before="20" w:after="20"/>
        <w:ind w:left="170"/>
      </w:pPr>
      <w:r>
        <w:rPr>
          <w:rFonts w:ascii="Calibri" w:hAnsi="Calibri"/>
          <w:b/>
          <w:color w:val="4A6B25"/>
          <w:sz w:val="15"/>
        </w:rPr>
        <w:t xml:space="preserve">4. </w:t>
      </w:r>
      <w:r>
        <w:rPr>
          <w:rFonts w:ascii="Calibri" w:hAnsi="Calibri"/>
          <w:b w:val="0"/>
          <w:color w:val="3A4A28"/>
          <w:sz w:val="17"/>
        </w:rPr>
        <w:t>StockAnalysis / Market Data — GSUN $0.27 stock price, $3.47M market cap, all-time low $0.22,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