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GTBP</w:t>
      </w:r>
      <w:r>
        <w:rPr>
          <w:rFonts w:ascii="Calibri" w:hAnsi="Calibri"/>
          <w:b/>
          <w:color w:val="1A2010"/>
          <w:sz w:val="40"/>
        </w:rPr>
        <w:t xml:space="preserve">  GT Biopharma, Inc.</w:t>
      </w:r>
    </w:p>
    <w:p>
      <w:pPr>
        <w:spacing w:after="120"/>
      </w:pPr>
      <w:r>
        <w:rPr>
          <w:rFonts w:ascii="Calibri" w:hAnsi="Calibri"/>
          <w:b/>
          <w:color w:val="6E8450"/>
          <w:sz w:val="18"/>
        </w:rPr>
        <w:t>GROWTH SLEEVE · 2026-07-28 · Inspire: 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GT Biopharma, Inc. is a clinical-stage biopharmaceutical company focused on developing immuno-oncology therapeutics using its proprietary TriKE (Tri-specific Killer Engager) natural killer cell platform. Lead program GTB-3650 targets CD33-expressing blood cancers (acute myeloid leukemia) in Phase 1 trials. Second candidate GTB-5550 targets B7-H3-expressing solid tumors with first patient dosed in May 2026. The company has recently deployed AI-based technologies for drug discovery acceleration. Fully remote since July 2024, facing Nasdaq minimum bid price compliance challenges. Headquartered virtually with no principal executive office.</w:t>
      </w:r>
    </w:p>
    <w:p>
      <w:r>
        <w:rPr>
          <w:rFonts w:ascii="Calibri" w:hAnsi="Calibri"/>
          <w:b/>
          <w:color w:val="6E8450"/>
          <w:sz w:val="18"/>
        </w:rPr>
        <w:t>20 Employees · https://www.gtbiopharma.com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GT Biopharma's proprietary TriKE NK cell engager platform represents a novel approach to immuno-oncology — harnessing natural killer cells through tri-specific antibody constructs that simultaneously engage NK cells, deliver an IL-15 cytokine signal, and target tumor antigens [2]. The company advanced two candidates into Phase 1 clinical trials, with GTB-5550 dosing its first patient in May 2026 [2]. However, progress has been slow relative to better-capitalized competitors in the NK cell space. AI Deployment (1/2): GT Biopharma deployed AI-based tools in 2026 for drug discovery — sequence and structural analysis, molecular engineering optimization, linker design, and structural modeling — with CEO Breen citing 'marked acceleration in discovery productivity' [2]. These tools are being used to identify new tumor-targeting engagers for pre-IND development by 2027 [2]. However, no specific cost savings or timeline acceleration metrics have been quantified. Market Share (0/2): Pre-revenue clinical-stage company with zero commercial products and no market position in any therapeutic category [1]. Product Pipeline (1/2): Two Phase 1 programs active (GTB-3650 for CD33+ blood cancers, GTB-5550 for B7-H3+ solid tumors) with AI-driven expansion expected to yield additional pre-IND candidates by 2027 [2]. Pipeline is narrow and early-stage. R&amp;D Intensity (1/1): As a clinical-stage biotech with zero revenue, R&amp;D intensity is effectively infinite — all capital is directed toward research and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GT Biopharma's mission to develop novel immuno-oncology treatments using natural killer cell engagers addresses a genuine medical need — particularly in acute myeloid leukemia and solid tumors with limited treatment options [2]. The mission is clear and identifies specific patient populations. However, it is not distinctively articulated beyond what any clinical-stage oncology biotech would claim, and the company's extended development timeline (TriKE platform conceptualized years ago, still in Phase 1) raises questions about execution commitment. Community Impact (0/2): No evidence of charitable programs, foundation activity, or community investment beyond the inherent social value of developing cancer treatments. Employee Retention (0/2): Fully remote company since July 2024 with no principal executive office [3]. Extremely small team (~20 people). No retention, tenure, or turnover data publicly reported. Insider Buying (0/2): No evidence of meaningful net insider buying by CEO Michael Breen or other executives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Stock price of ~$0.40 with estimated average daily volume of ~100,000 shares yields daily dollar volume of approximately $40,000, far below the $1M minimum threshold required for IOWN tradability. Infrastructure score automatically set to 0 [1][3]. Underlying metrics are deeply distressed: zero revenue (consensus $0 for 2026), expected annual net loss of ~$22.5M, cash of ~$9M (January 2026) providing runway only through Q4 2026, and stockholders' equity below the $2.5M Nasdaq minimum [1][3]. The company faces Nasdaq delisting risk for failing the $1.00 minimum bid price requirement (compliance deadline November 16, 2026) and is seeking shareholder approval for a 1-for-10 to 1-for-30 reverse stock split [3]. This is a company with existential financial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GT Biopharma operates with a genuine scientific purpose — developing novel NK cell engager immunotherapies for cancer patients — but the company's execution history and existential financial constraints undermine the credibility of any long-term Just Cause. The TriKE platform has been in development for years with only two candidates reaching Phase 1 by mid-2026, while the company faces Nasdaq delisting risk, sub-$10M cash, and potential equity dilution from reverse stock splits. When a company's survival horizon is measured in quarters rather than decades, infinite game principles become aspirational rather than operational.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Developing immuno-oncology treatments using novel NK cell engager technology to help cancer patients is a genuine cause that connects GT Biopharma's work to something bigger than profit [2]. However, the cause has not been validated through consistent execution — the company has been developing the TriKE platform for years with limited clinical progress (only Phase 1 by mid-2026). The gap between aspiration and execution prevents this from qualifying as a proven Just Cause in Sinek's framework.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transition to fully remote operations in July 2024 suggests organizational flexibility and trust in employees to work independently [3]. The small team (~20 people) likely has close working relationships and minimal bureaucracy. However, no specific evidence of employee empowerment programs, exceptional tenure, or cultural practices was identified. The small team size and existential financial pressure may create a high-stress environment.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GT Biopharma acknowledging competitors' strengths or using competitive dynamics as motivation for improvement. The NK cell therapy space includes well-funded competitors (Affimed, ImmunityBio, Artiva Biotherapeutics) that GT Biopharma does not explicitly reference as learning opportunities [2]. The company's communications focus on its own TriKE platform differentiation rather than competitive positioning insights.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GT Biopharma has evolved from a legacy company (formerly Georgetown Inc.) into a focused immuno-oncology platform, representing a genuine strategic reinvention [2]. The recent deployment of AI-based drug discovery tools shows willingness to adopt new technologies to accelerate pipeline development [2]. However, with only ~$9M cash and Phase 1 programs, the company lacks the resources to execute a major pivot if the current approach fails — flexibility requires capital that GTBP does not have.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Continuing to invest in two Phase 1 clinical trials with only ~$9M cash demonstrates conviction in the TriKE platform's scientific potential [1][2]. The decision to deploy AI tools for pipeline expansion while managing severe cash constraints shows resource discipline and willingness to invest in future capability. Dosing the first GTB-5550 patient in May 2026 represents a meaningful clinical milestone. However, these decisions are made under existential financial pressure — true courage in Sinek's framework implies choice, and GTBP has limited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GT Biopharma offers a speculative option on the TriKE NK cell engager platform — a differentiated immuno-oncology approach that simultaneously engages natural killer cells, delivers IL-15 signaling, and targets tumor antigens [2]. Two Phase 1 programs are active: GTB-3650 for CD33+ blood cancers (including AML) and GTB-5550 for B7-H3+ solid tumors (first patient dosed May 2026). The recent deployment of AI-based drug discovery tools has accelerated pipeline expansion, with multiple new candidates expected to reach pre-IND by 2027 [2]. At a ~$13M market cap, a Phase 1 clinical success in either program could drive significant revaluation given the large addressable markets in AML and solid tumors.</w:t>
      </w:r>
    </w:p>
    <w:p>
      <w:pPr>
        <w:spacing w:after="120"/>
      </w:pPr>
      <w:r>
        <w:rPr>
          <w:rFonts w:ascii="Calibri" w:hAnsi="Calibri"/>
          <w:b w:val="0"/>
          <w:color w:val="3A4A28"/>
          <w:sz w:val="20"/>
        </w:rPr>
        <w:t>GT Biopharma is uninvestable for IOWN due to multiple existential risks. The company has zero revenue (consensus $0 for 2026), expected net losses of ~$22.5M, and cash of only ~$9M providing runway through Q4 2026 at best [1]. Nasdaq delisting is imminent unless the company completes a 1-for-10 to 1-for-30 reverse stock split by November 2026, and stockholders' equity is below the $2.5M minimum listing requirement [3]. Daily dollar volume of ~$40,000 makes position entry and exit functionally impossible for any meaningful allocation. Phase 1 clinical risk for both programs is substantial — most Phase 1 oncology candidates fail, and the company lacks the capital to fund development beyond early 2027 without significant dilution. The micro-cap, penny-stock profile with delisting risk and minimal institutional ownership make GTBP a speculative venture investment rather than a portfolio holding.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1 clinical data from GTB-3650 (CD33+ AML) or GTB-5550 (B7-H3+ solid tumors) could validate the TriKE NK cell engager mechanism and attract partnership or acquisition interest from larger oncology companies</w:t>
      </w:r>
    </w:p>
    <w:p>
      <w:pPr>
        <w:spacing w:before="40" w:after="40"/>
        <w:ind w:left="283"/>
      </w:pPr>
      <w:r>
        <w:rPr>
          <w:rFonts w:ascii="Calibri" w:hAnsi="Calibri"/>
          <w:b/>
          <w:color w:val="4A6B25"/>
          <w:sz w:val="20"/>
        </w:rPr>
        <w:t xml:space="preserve">2. </w:t>
      </w:r>
      <w:r>
        <w:rPr>
          <w:rFonts w:ascii="Calibri" w:hAnsi="Calibri"/>
          <w:b w:val="0"/>
          <w:color w:val="3A4A28"/>
          <w:sz w:val="20"/>
        </w:rPr>
        <w:t>AI-driven pipeline expansion producing multiple pre-IND candidates by 2027 could demonstrate platform breadth and accelerate the path to a partnership that provides capital and development resources</w:t>
      </w:r>
    </w:p>
    <w:p>
      <w:pPr>
        <w:spacing w:before="40" w:after="40"/>
        <w:ind w:left="283"/>
      </w:pPr>
      <w:r>
        <w:rPr>
          <w:rFonts w:ascii="Calibri" w:hAnsi="Calibri"/>
          <w:b/>
          <w:color w:val="4A6B25"/>
          <w:sz w:val="20"/>
        </w:rPr>
        <w:t xml:space="preserve">3. </w:t>
      </w:r>
      <w:r>
        <w:rPr>
          <w:rFonts w:ascii="Calibri" w:hAnsi="Calibri"/>
          <w:b w:val="0"/>
          <w:color w:val="3A4A28"/>
          <w:sz w:val="20"/>
        </w:rPr>
        <w:t>Successful Nasdaq compliance through reverse stock split and additional financing could stabilize the corporate structure and enable institutional investor participation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of approximately two quarters (Q3-Q4 2026) creates existential risk — the company must raise capital through dilutive equity offerings, partnerships, or grant funding before year-end or face potential liquidation</w:t>
      </w:r>
    </w:p>
    <w:p>
      <w:pPr>
        <w:spacing w:before="40" w:after="40"/>
        <w:ind w:left="283"/>
      </w:pPr>
      <w:r>
        <w:rPr>
          <w:rFonts w:ascii="Calibri" w:hAnsi="Calibri"/>
          <w:b/>
          <w:color w:val="4A6B25"/>
          <w:sz w:val="20"/>
        </w:rPr>
        <w:t xml:space="preserve">2. </w:t>
      </w:r>
      <w:r>
        <w:rPr>
          <w:rFonts w:ascii="Calibri" w:hAnsi="Calibri"/>
          <w:b w:val="0"/>
          <w:color w:val="3A4A28"/>
          <w:sz w:val="20"/>
        </w:rPr>
        <w:t>Nasdaq delisting deadline of November 16, 2026 for minimum bid price compliance requires a reverse stock split that would concentrate shares but does not address the underlying equity shortfall below the $2.5M minimum</w:t>
      </w:r>
    </w:p>
    <w:p>
      <w:pPr>
        <w:spacing w:before="40" w:after="40"/>
        <w:ind w:left="283"/>
      </w:pPr>
      <w:r>
        <w:rPr>
          <w:rFonts w:ascii="Calibri" w:hAnsi="Calibri"/>
          <w:b/>
          <w:color w:val="4A6B25"/>
          <w:sz w:val="20"/>
        </w:rPr>
        <w:t xml:space="preserve">3. </w:t>
      </w:r>
      <w:r>
        <w:rPr>
          <w:rFonts w:ascii="Calibri" w:hAnsi="Calibri"/>
          <w:b w:val="0"/>
          <w:color w:val="3A4A28"/>
          <w:sz w:val="20"/>
        </w:rPr>
        <w:t>Phase 1 clinical failure in either GTB-3650 or GTB-5550 would eliminate the company's primary value drivers with no capital to pivot, effectively ending the investment case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Clinical-stage drug development for oncology requires multi-year Phase 1-3 clinical trials, FDA IND applications, and regulatory approval processes that AI cannot bypass or substitute [2]. Physical patient enrollment, safety monitoring, and drug manufacturing are structurally protected from AI displacement. GT Biopharma's proprietary TriKE NK cell engager platform represents novel biological science that requires wet-lab validation regardless of AI capabilities. However, AI-accelerated drug discovery platforms at better-funded competitors (Recursion, Insilico Medicine, AbCellera) could identify competing NK cell engagers or alternative immunotherapies faster, increasing competitive pressure on GTBP's slow-moving pipeline [2]. AI Opportunity (0/1): GT Biopharma has deployed AI-based tools for drug discovery (sequence analysis, structural modeling, molecular engineering optimization) with CEO citing acceleration in discovery productivity [2]. However, the company generates zero revenue from any source, including AI-related products or services, and AI deployment is purely an internal cost-reduction tool at this stage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GT Biopharma Financial Data and Revenue Forecasts — WallStreetZen / StockAnalysis / PitchBook, 2026</w:t>
      </w:r>
    </w:p>
    <w:p>
      <w:pPr>
        <w:spacing w:before="20" w:after="20"/>
        <w:ind w:left="170"/>
      </w:pPr>
      <w:r>
        <w:rPr>
          <w:rFonts w:ascii="Calibri" w:hAnsi="Calibri"/>
          <w:b/>
          <w:color w:val="4A6B25"/>
          <w:sz w:val="15"/>
        </w:rPr>
        <w:t xml:space="preserve">2. </w:t>
      </w:r>
      <w:r>
        <w:rPr>
          <w:rFonts w:ascii="Calibri" w:hAnsi="Calibri"/>
          <w:b w:val="0"/>
          <w:color w:val="3A4A28"/>
          <w:sz w:val="17"/>
        </w:rPr>
        <w:t>GT Biopharma AI Technology Rollout and Pipeline Update — Benzinga / GlobeNewswire / Investor Relations, June 2026</w:t>
      </w:r>
    </w:p>
    <w:p>
      <w:pPr>
        <w:spacing w:before="20" w:after="20"/>
        <w:ind w:left="170"/>
      </w:pPr>
      <w:r>
        <w:rPr>
          <w:rFonts w:ascii="Calibri" w:hAnsi="Calibri"/>
          <w:b/>
          <w:color w:val="4A6B25"/>
          <w:sz w:val="15"/>
        </w:rPr>
        <w:t xml:space="preserve">3. </w:t>
      </w:r>
      <w:r>
        <w:rPr>
          <w:rFonts w:ascii="Calibri" w:hAnsi="Calibri"/>
          <w:b w:val="0"/>
          <w:color w:val="3A4A28"/>
          <w:sz w:val="17"/>
        </w:rPr>
        <w:t>GT Biopharma Nasdaq Compliance, Delisting Risk, and Corporate Governance — Investing.com /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GT Biopharma Clinical Trial Pipeline — Synapse / PRNewswire / Investor Relations,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GTBP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