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GTN</w:t>
      </w:r>
      <w:r>
        <w:rPr>
          <w:rFonts w:ascii="Calibri" w:hAnsi="Calibri"/>
          <w:b/>
          <w:color w:val="1A2010"/>
          <w:sz w:val="40"/>
        </w:rPr>
        <w:t xml:space="preserve">  Gray Media, Inc.</w:t>
      </w:r>
    </w:p>
    <w:p>
      <w:pPr>
        <w:spacing w:after="120"/>
      </w:pPr>
      <w:r>
        <w:rPr>
          <w:rFonts w:ascii="Calibri" w:hAnsi="Calibri"/>
          <w:b/>
          <w:color w:val="6E8450"/>
          <w:sz w:val="18"/>
        </w:rPr>
        <w:t>DIVIDEND SLEEVE · 2026-07-29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NYSE · United States</w:t>
      </w:r>
    </w:p>
    <w:p>
      <w:pPr>
        <w:spacing w:after="80"/>
      </w:pPr>
      <w:r>
        <w:rPr>
          <w:rFonts w:ascii="Calibri" w:hAnsi="Calibri"/>
          <w:b w:val="0"/>
          <w:color w:val="3A4A28"/>
          <w:sz w:val="20"/>
        </w:rPr>
        <w:t>Gray Media, Inc. (formerly Gray Television) is one of the largest television broadcast companies in the United States, operating television stations reaching approximately 113 markets covering 36% of U.S. TV households. The company provides local news and entertainment content, generates revenue from advertising (including political) and retransmission consent fees, and also operates Gray Digital Media and video production companies. Founded in 1891 and headquartered in Atlanta, Georgia.</w:t>
      </w:r>
    </w:p>
    <w:p>
      <w:r>
        <w:rPr>
          <w:rFonts w:ascii="Calibri" w:hAnsi="Calibri"/>
          <w:b/>
          <w:color w:val="6E8450"/>
          <w:sz w:val="18"/>
        </w:rPr>
        <w:t>9,165 Employees · https://graymedia.com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of $768M was in line with expectations but declined 1.8% YoY, and Q4 2025 revenue of $792M beat guidance but declined 24% from the 2024 political cycle peak of $1.045B [1][2]. Gray launched a new streaming structure in January 2026, representing a modest extension into digital distribution. AI Deployment (1/2): Gray was the first broadcaster to publish Guidelines for Use of Generative AI and established an AI Policy Committee under Claire Magee Ferguson, ensuring journalist-created content integrity [3]. However, this is a defensive governance framework rather than AI product deployment — no AI-generated revenue or specific AI cost savings have been reported. Market Share (1/2): Gray is the largest owner of local TV stations in the U.S. by market count (113 markets, 36% household reach), a strong competitive position but within a structurally declining industry facing cord-cutting and digital advertising shifts [1]. Product Pipeline (0/2): No meaningful new revenue verticals beyond incremental digital marketing services; 2026 midterm elections will provide political ad revenue but this is cyclical, not product innovation [1]. R&amp;D Intensity (0/1): Minimal R&amp;D spending relative to technology and media peers; primarily an operator of existing broadcast infrastructure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Gray's mission centers on local journalism and community service — 'providing news and entertainment services to the local markets in which the Company operates' [4]. Local journalism is inherently purpose-driven and serves a vital democratic function, but Gray has not articulated a broader transformative vision beyond being the largest local TV station operator. Community Impact (1/2): Gray serves as a primary local news source for millions of Americans across 113 markets, employing 9,165 people and publishing its first ESG Report in March 2023 with diversity initiatives and DEI Task Force under Board oversight [4]. Local journalism IS community service, though specific charitable dollar amounts were not identified. Employee Retention (0/2): Glassdoor rating of approximately 3.0/5 with only 56% of employees recommending working there; common complaints include below-market pay, outdated technology, and layoff concerns; the executive team earns a C- rating (bottom 35%) from Comparably [3]. Insider Buying (0/2): No notable insider buying activity identified; dual-class share structure concentrates control with CEO Hilton Howell's family rather than demonstrating conviction through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Gray's financial profile reflects extreme leverage from aggressive station acquisitions. D/E of 208% with approximately $5.8B total debt against a sub-$500M market cap creates severe balance sheet risk [5]. ROE of 3.36% and profit margin of 2.81% are thin, and the company reported a net loss of $23M in Q3 2025 [1][5]. Revenue declined 1.8% YoY in Q1 2026 with Q2 guidance of $790M coming in 1.5% below analyst estimates [1]. Forward P/E ranges from 2.37 to 16.25 across sources, reflecting uncertainty around election-year earnings normalization. Dividend yield of 7.88% appears attractive but the flat $0.32/year dividend since 2021 reinstatement with zero growth and zero consecutive years of dividend increases signals strained capital allocation [5]. Payout ratio of approximately 74% (on earnings basis) leaves limited safety margin given volatile profitability. Liquidity cleared: ~1.25M avg volume x $3.98 = $5.0M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Gray plays a predominantly finite game — aggressive debt-fueled station acquisitions ($5.8B in debt), a dual-class share structure that concentrates control, flat dividends since 2021, and employee dissatisfaction (56% recommend rate, C- executive rating) reflect empire building over sustainable value creation. While the 130+ year history and commitment to local journalism suggest some long-term orientation, the company lacks a compelling vision for how local media evolves in a digital-first world.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Serving local communities through journalism is a worthy purpose, but Gray articulates it in generic terms indistinguishable from any broadcaster [4]. The company has not demonstrated how this cause shapes strategic decisions beyond acquiring more stations. The dual-class share structure prioritizes founder control over inclusive governance, undermining the cause's credibility. CEO Howell's public statements focus on operational execution and market scale rather than advancing a vision of how local media improves communities.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Clear low-trust signals emerge from employee feedback. Glassdoor rating of approximately 3.0/5 with only 56% recommending working at Gray, and executive team scoring in the bottom 35% of comparable companies reveal significant trust deficits [3]. Complaints about below-market pay, outdated technology, frequent layoffs, and HR unresponsiveness indicate frontline staff feel underinvested in and unheard. The DEI Task Force and Board ESG oversight have not translated to improved employee sentiment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explicitly acknowledging competitors' strengths or using rivalry as motivation for self-improvement. Gray's competitive language emphasizes market dominance — largest station operator by market count — rather than learning from digital-native rivals like streaming and social media platforms [1]. The acquisition-driven growth strategy focuses on scale accumulation rather than capability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Gray has shown some strategic flexibility by expanding into digital marketing (Gray Digital Media), production services, and launching a streaming structure in January 2026 [3]. The CIO hire signals intent to drive digital transformation. However, the $5.8B debt load from station acquisitions severely constrains strategic flexibility — the company cannot easily invest in new verticals or pivot away from traditional broadcasting while servicing this debt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Being the first broadcaster to publish generative AI guidelines demonstrates thought leadership on a critical industry issue [3]. CEO Howell's 17-year tenure provides continuity, and the new management structure aims to be 'decisive, innovative, and agile' [3]. However, the dual-class share structure, flat dividend since 2021 reinstatement, and accumulation of $5.8B in acquisition debt suggest leadership prioritizes empire building and control over sustainable stakeholder alignment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Gray Media is the largest U.S. local TV station operator (113 markets, 36% household reach) trading at a deeply depressed $3.98/share with a 7.88% dividend yield, offering contrarian investors a leveraged bet on local media durability and 2026 midterm election political advertising [1][5]. Q4 2025 core advertising revenue grew 3% to $392M excluding political, and the 2026 midterm cycle should drive a substantial political revenue surge in H2 2026 [1][2]. Operating cash flow of $289M provides dividend coverage and debt service capacity despite the massive leverage. The stock trades at just 0.13x revenue and single-digit forward P/E, pricing in significant structural distress that may overstate near-term risks during an election year.</w:t>
      </w:r>
    </w:p>
    <w:p>
      <w:pPr>
        <w:spacing w:after="120"/>
      </w:pPr>
      <w:r>
        <w:rPr>
          <w:rFonts w:ascii="Calibri" w:hAnsi="Calibri"/>
          <w:b w:val="0"/>
          <w:color w:val="3A4A28"/>
          <w:sz w:val="20"/>
        </w:rPr>
        <w:t>The bear case is severe and potentially existential. Gray carries approximately $5.8B in debt against a sub-$500M market cap — a roughly 12:1 leverage ratio that creates existential risk if advertising markets weaken or cord-cutting accelerates beyond expectations [5]. Revenue declined 1.8% YoY in Q1 2026, and Q2 guidance of $790M missed analyst estimates by 1.5%, suggesting even non-political advertising is under pressure [1]. The broadcast TV industry faces secular headwinds from streaming, digital advertising shifts, and younger demographics abandoning linear TV — trends that AI-powered content platforms only accelerate. The flat $0.32/year dividend since 2021 reinstatement with zero growth and approximately 74% payout ratio leaves no margin for error. Glassdoor ratings (3.0/5, 56% recommend rate, C- executive team) indicate cultural challenges that impede the digital transformation needed for long-term survival [3]. Profit margin of 2.81% and ROE of 3.36% confirm the business generates minimal returns on its massive capital base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midterm election cycle expected to generate substantial political advertising revenue in H2 2026, potentially driving quarterly revenue above $1B as seen in 2024 election quarters [1]</w:t>
      </w:r>
    </w:p>
    <w:p>
      <w:pPr>
        <w:spacing w:before="40" w:after="40"/>
        <w:ind w:left="283"/>
      </w:pPr>
      <w:r>
        <w:rPr>
          <w:rFonts w:ascii="Calibri" w:hAnsi="Calibri"/>
          <w:b/>
          <w:color w:val="4A6B25"/>
          <w:sz w:val="20"/>
        </w:rPr>
        <w:t xml:space="preserve">2. </w:t>
      </w:r>
      <w:r>
        <w:rPr>
          <w:rFonts w:ascii="Calibri" w:hAnsi="Calibri"/>
          <w:b w:val="0"/>
          <w:color w:val="3A4A28"/>
          <w:sz w:val="20"/>
        </w:rPr>
        <w:t>Core advertising revenue growing 3% in Q4 2025 suggests some stabilization in non-political ad demand, which could benefit from economic recovery [1][2]</w:t>
      </w:r>
    </w:p>
    <w:p>
      <w:pPr>
        <w:spacing w:before="40" w:after="40"/>
        <w:ind w:left="283"/>
      </w:pPr>
      <w:r>
        <w:rPr>
          <w:rFonts w:ascii="Calibri" w:hAnsi="Calibri"/>
          <w:b/>
          <w:color w:val="4A6B25"/>
          <w:sz w:val="20"/>
        </w:rPr>
        <w:t xml:space="preserve">3. </w:t>
      </w:r>
      <w:r>
        <w:rPr>
          <w:rFonts w:ascii="Calibri" w:hAnsi="Calibri"/>
          <w:b w:val="0"/>
          <w:color w:val="3A4A28"/>
          <w:sz w:val="20"/>
        </w:rPr>
        <w:t>Streaming launch in January 2026 and CIO hire signal intent to diversify revenue beyond traditional linear broadcast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approximately $5.8B debt vs. sub-$500M market cap creates existential risk — any sustained advertising downturn could threaten debt covenants, dividend sustainability, and solvency [5]</w:t>
      </w:r>
    </w:p>
    <w:p>
      <w:pPr>
        <w:spacing w:before="40" w:after="40"/>
        <w:ind w:left="283"/>
      </w:pPr>
      <w:r>
        <w:rPr>
          <w:rFonts w:ascii="Calibri" w:hAnsi="Calibri"/>
          <w:b/>
          <w:color w:val="4A6B25"/>
          <w:sz w:val="20"/>
        </w:rPr>
        <w:t xml:space="preserve">2. </w:t>
      </w:r>
      <w:r>
        <w:rPr>
          <w:rFonts w:ascii="Calibri" w:hAnsi="Calibri"/>
          <w:b w:val="0"/>
          <w:color w:val="3A4A28"/>
          <w:sz w:val="20"/>
        </w:rPr>
        <w:t>Secular decline of linear TV broadcasting as cord-cutting accelerates and digital platforms capture advertising budgets, threatening Gray's core business model irrespective of election cycles [1]</w:t>
      </w:r>
    </w:p>
    <w:p>
      <w:pPr>
        <w:spacing w:before="40" w:after="40"/>
        <w:ind w:left="283"/>
      </w:pPr>
      <w:r>
        <w:rPr>
          <w:rFonts w:ascii="Calibri" w:hAnsi="Calibri"/>
          <w:b/>
          <w:color w:val="4A6B25"/>
          <w:sz w:val="20"/>
        </w:rPr>
        <w:t xml:space="preserve">3. </w:t>
      </w:r>
      <w:r>
        <w:rPr>
          <w:rFonts w:ascii="Calibri" w:hAnsi="Calibri"/>
          <w:b w:val="0"/>
          <w:color w:val="3A4A28"/>
          <w:sz w:val="20"/>
        </w:rPr>
        <w:t>Employee dissatisfaction (56% recommend rate, C- executive rating, below-market pay complaints) and dual-class share structure may impede the digital transformation and shareholder value creation needed for long-term survival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Local TV broadcasting has meaningful defensive moats against pure AI disruption — FCC licenses, retransmission consent agreements, physical broadcast infrastructure, and local journalist relationships create barriers that AI cannot replicate [3]. Local weather, sports, breaking news, and community events require physical presence and community trust that AI-generated content cannot substitute. However, AI-powered digital content platforms (Google Discover, Apple News, TikTok) threaten viewership, and programmatic AI-driven advertising shifts budgets from linear TV to digital channels, accelerating the secular decline of broadcast advertising [3]. National news aggregation by AI tools further reduces the value of Gray's non-local content. The bigger threat is not AI replacing local news but AI accelerating the digital advertising shift that erodes Gray's core revenue model. AI Opportunity (0/1): No quantifiable AI revenue or AI-driven cost savings reported. The AI Policy Committee and generative AI guidelines represent governance, not monetization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Gray Media Q1 CY2026 Earnings — $768M revenue (-1.8% YoY), Q2 guidance $790M; Q4 2025 revenue $792M, core ad revenue +3%, Yahoo Finance and graytv.gcs-web.com, 2026</w:t>
      </w:r>
    </w:p>
    <w:p>
      <w:pPr>
        <w:spacing w:before="20" w:after="20"/>
        <w:ind w:left="170"/>
      </w:pPr>
      <w:r>
        <w:rPr>
          <w:rFonts w:ascii="Calibri" w:hAnsi="Calibri"/>
          <w:b/>
          <w:color w:val="4A6B25"/>
          <w:sz w:val="15"/>
        </w:rPr>
        <w:t xml:space="preserve">2. </w:t>
      </w:r>
      <w:r>
        <w:rPr>
          <w:rFonts w:ascii="Calibri" w:hAnsi="Calibri"/>
          <w:b w:val="0"/>
          <w:color w:val="3A4A28"/>
          <w:sz w:val="17"/>
        </w:rPr>
        <w:t>Gray Media Fourth Quarter 2025 Earnings Release — $792M revenue, $179M Adjusted EBITDA, graytv.gcs-web.com, February 2026</w:t>
      </w:r>
    </w:p>
    <w:p>
      <w:pPr>
        <w:spacing w:before="20" w:after="20"/>
        <w:ind w:left="170"/>
      </w:pPr>
      <w:r>
        <w:rPr>
          <w:rFonts w:ascii="Calibri" w:hAnsi="Calibri"/>
          <w:b/>
          <w:color w:val="4A6B25"/>
          <w:sz w:val="15"/>
        </w:rPr>
        <w:t xml:space="preserve">3. </w:t>
      </w:r>
      <w:r>
        <w:rPr>
          <w:rFonts w:ascii="Calibri" w:hAnsi="Calibri"/>
          <w:b w:val="0"/>
          <w:color w:val="3A4A28"/>
          <w:sz w:val="17"/>
        </w:rPr>
        <w:t>Gray Television Leadership, AI Guidelines, CIO Hire — prnewswire.com, AINvest, TV News Check, 2025-2026</w:t>
      </w:r>
    </w:p>
    <w:p>
      <w:pPr>
        <w:spacing w:before="20" w:after="20"/>
        <w:ind w:left="170"/>
      </w:pPr>
      <w:r>
        <w:rPr>
          <w:rFonts w:ascii="Calibri" w:hAnsi="Calibri"/>
          <w:b/>
          <w:color w:val="4A6B25"/>
          <w:sz w:val="15"/>
        </w:rPr>
        <w:t xml:space="preserve">4. </w:t>
      </w:r>
      <w:r>
        <w:rPr>
          <w:rFonts w:ascii="Calibri" w:hAnsi="Calibri"/>
          <w:b w:val="0"/>
          <w:color w:val="3A4A28"/>
          <w:sz w:val="17"/>
        </w:rPr>
        <w:t>Gray Media 2022 ESG Report — Diversity initiatives, DEI Task Force, environmental commitments, responsibilityreports.com, March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GTN Key Statistics, D/E, Revenue,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