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HAS</w:t>
      </w:r>
      <w:r>
        <w:rPr>
          <w:rFonts w:ascii="Calibri" w:hAnsi="Calibri"/>
          <w:b/>
          <w:color w:val="1A2010"/>
          <w:sz w:val="40"/>
        </w:rPr>
        <w:t xml:space="preserve">  Hasbro, Inc.</w:t>
      </w:r>
    </w:p>
    <w:p>
      <w:pPr>
        <w:spacing w:after="120"/>
      </w:pPr>
      <w:r>
        <w:rPr>
          <w:rFonts w:ascii="Calibri" w:hAnsi="Calibri"/>
          <w:b/>
          <w:color w:val="6E8450"/>
          <w:sz w:val="18"/>
        </w:rPr>
        <w:t>DIVIDEND SLEEVE · 2026-07-21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 NASDAQ · United States</w:t>
      </w:r>
    </w:p>
    <w:p>
      <w:pPr>
        <w:spacing w:after="80"/>
      </w:pPr>
      <w:r>
        <w:rPr>
          <w:rFonts w:ascii="Calibri" w:hAnsi="Calibri"/>
          <w:b w:val="0"/>
          <w:color w:val="3A4A28"/>
          <w:sz w:val="20"/>
        </w:rPr>
        <w:t>Hasbro, Inc. is a global branded play, entertainment, and digital gaming company. The company operates through three segments: Wizards of the Coast and Digital Gaming (Magic: The Gathering, Dungeons &amp; Dragons, Monopoly GO!), Consumer Products (Transformers, NERF, Play-Doh, My Little Pony, Peppa Pig), and Entertainment (film, TV, and content licensing). Under CEO Chris Cocks, Hasbro has pivoted to an IP-first strategy with Wizards of the Coast as the core profit engine, generating over $1 billion in operating profit at 46% margins. Headquartered in Pawtucket, Rhode Island.</w:t>
      </w:r>
    </w:p>
    <w:p>
      <w:r>
        <w:rPr>
          <w:rFonts w:ascii="Calibri" w:hAnsi="Calibri"/>
          <w:b/>
          <w:color w:val="6E8450"/>
          <w:sz w:val="18"/>
        </w:rPr>
        <w:t>10,000 Employees · https://www.hasbro.com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Hasbro executed a significant strategic transformation under CEO Chris Cocks, pivoting from a toy-and-entertainment conglomerate (including the problematic eOne acquisition) to an IP-first, digital gaming-centric company [1][2]. Wizards of the Coast surged 45% in 2025, generating over $1B in operating profit at 46% margin. Magic: The Gathering exceeded $500M in quarterly revenue for the first time in its 30+ year history [2]. The eOne divestiture was a painful but necessary retreat; the WotC-led transformation is genuinely significant. AI Deployment (2/2): CEO Cocks described AI integration as 'a clear success,' with quantified impact: AI-assisted design paired with 3D printing has reduced concept-to-prototype time by 80% (10 concepts in the time and cost previously needed for one), and the company anticipates freeing over 1 million hours of lower-value work through AI workflows across financial planning, forecasting, order management, and supply chain [3]. Partnerships with Google Gemini, OpenAI, and ElevenLabs are operational, not experimental. Market Share (2/2): Hasbro is the #2 global toy company and #1 in tabletop gaming through Wizards of the Coast. Magic: The Gathering is the dominant trading card game franchise, and D&amp;D is the category-defining tabletop RPG with growing digital presence [2]. Monopoly GO! has been a massive mobile gaming success. Product Pipeline (1/2): New product lines include Blooms by Play-Doh targeting the adult crafting market and a Legend of Zelda toy partnership with Nintendo [4]. WotC has a continuous pipeline of Magic and D&amp;D content releases. Specific launch dates are tied to content seasons. R&amp;D Intensity (1/1): Significant investment in AI partnerships (Google, OpenAI, ElevenLabs), digital gaming infrastructure for WotC, and 3D printing/AI-assisted design processes puts Hasbro above peer average for the toy and entertainment industry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Cocks articulates Hasbro's purpose as bringing people together through 'authentic person-to-person connection and shared passion, whether through Dungeons &amp; Dragons, Magic: The Gathering, or community play in hobby stores around the world' [2]. The 'Lifetime of Play' theme connects the company's work to a genuine human need — play as a vehicle for connection and creativity [3]. This purpose is specific, thoughtful, and distinctive from peers. Strategic decisions (WotC prioritization, human-centric AI approach where 'people make the decisions and people own the creative outcomes') trace back to this purpose. However, the purpose has been tested relatively recently (Cocks became CEO in 2022) and hasn't proven its durability through multiple leadership transitions or market cycles. Community Impact (1/2): Hasbro's ESG governance includes board-level oversight through the Nominating, Governance and Social Responsibility Committee, with regular climate, sustainability, and human rights agenda items [5]. The company has established CSR programs. These represent genuine but not exceptional community investment relative to the company's scale. Employee Retention (0/2): Hasbro conducted significant layoffs in 2023-2024 (approximately 2,000+ positions eliminated during restructuring), which directly contradicts evidence of retention strength. No specific positive retention or tenure data was found [5]. Insider Buying (0/2): In the past 12 months, there have been 12 insider sell transactions totaling approximately $46.41M, with only director share grants reported, not open-market purchases [6]. Net insider selling indicates no exceptional leadership conviction through personal investment.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recovery trajectory is strong but balance sheet still bears scars from the 2023 eOne impairment era. Revenue recovered to $4.70B in 2025 (up 13.68% from $4.14B in 2024), with Q2 2026 up 16% YoY driven by WotC and Digital Gaming +27% [1]. Full year 2026 guidance calls for 3-5% revenue growth (constant currency), adjusted operating margin of 24-25%, and adjusted EBITDA of $1.40-1.45B [1]. However, GAAP figures remain heavily distorted by the eOne legacy: D/E of 612% reflects accumulated impairment losses reducing equity; GAAP ROE of -23.3% and net profit margin of -6.86% are negative due to non-cash writedowns, despite strong adjusted operating performance [7]. Revenue decline from $6.42B (2021, pre-eOne divestiture) to $4.70B (2025) gives a 4-year revenue CAGR of approximately -7.5%, penalized further because it's below the -5% floor. Forward P/E of 15.0 on adjusted forward EPS of approximately $5.44 is attractive. Dividend has been maintained at $0.70/quarter through the crisis (25 consecutive years paid) but has not been increased since 2022, yielding 3.43%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Hasbro under Chris Cocks shows flickers of infinite thinking — the 'Lifetime of Play' purpose is genuine, and the principled decision to keep AI out of creative content because 'people just don't want it' demonstrates values-driven leadership. However, the 2023-2024 layoffs of 2,000+ employees, the failed eOne entertainment gamble, and the years of strategic whiplash (buy eOne for entertainment → write down eOne → divest eOne → pivot to WotC) suggest a company that is still finding its identity rather than one playing from a deep, enduring purpose. The operational excellence is improving, but the organizational trust required for infinite play has been damaged by recent restructuring.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CEO Cocks' vision of Hasbro bringing people together through 'authentic person-to-person connection and shared passion' through play is genuine and connects to something larger than profit [2][3]. The 30+ year history of Magic: The Gathering's community, the global D&amp;D player base, and the decision to prioritize human-created content over AI-generated alternatives all trace back to this purpose. However, this purpose is relatively new to Hasbro's corporate identity — the company spent 2019-2023 pursuing an entertainment conglomerate strategy (eOne) that had nothing to do with play-as-connection. The current Just Cause hasn't been validated through crisis or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Hasbro's 2023-2024 restructuring eliminated approximately 2,000+ positions — roughly 20% of the workforce — as the company unwound the eOne acquisition and restructured around the IP-first strategy [5]. Mass layoffs fundamentally undermine the Circle of Safety that Sinek considers essential for infinite play. Remaining employees witnessed colleagues dismissed during a strategic pivot they had no role in causing (the eOne acquisition was a leadership decision). While the current leadership team under Cocks appears stable, the organizational trust damage from recent restructuring is significant and recent.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Hasbro's leadership acknowledging competitors' strengths or framing competition as a source of improvement. Competitive language tends to focus on Hasbro's own IP strength and market position rather than learning from rivals like Mattel, LEGO, or digital gaming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strategic pivot under Cocks from 'toy and entertainment conglomerate' to 'IP-first, Wizards-led gaming company' represents meaningful business model evolution [2]. Divesting eOne's entertainment assets and elevating WotC from a secondary division to the company's profit engine (&gt;$1B operating profit, 46% margins) was a significant strategic shift. However, the eOne divestiture was driven by necessity (failed acquisition, massive impairment) rather than proactive purpose-driven reinvention, and Hasbro remains fundamentally a toy and gaming company — the business model didn't transform, the portfolio was restructured.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Cocks has demonstrated courage in several ways: taking the write-down on eOne and divesting rather than clinging to a failing strategy; publicly refusing to deploy AI in Magic and D&amp;D creative content because 'people just don't want it' despite pressure to cut costs [3]; and maintaining the $0.70 quarterly dividend through the restructuring rather than cutting it. However, the eOne cleanup was forced by circumstances rather than proactive, and the AI stance has the convenient benefit of protecting existing creative workflows. True courage — investing against the cycle or walking away from profitable but misaligned revenue — hasn't been clearly demonstrated.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Hasbro's IP-first pivot under CEO Chris Cocks is gaining traction. Wizards of the Coast and Digital Gaming surged 45% in 2025 to over $1B in operating profit at 46% margins, with Magic: The Gathering exceeding $500M in quarterly revenue for the first time in 30+ years [1][2]. Q2 2026 revenue grew 16% YoY with WotC +27%, and full-year 2026 guidance calls for 3-5% revenue growth with adjusted operating margin of 24-25% and EBITDA of $1.40-1.45B. Q1 2026 EPS of $1.47 beat estimates by 30% [1]. AI deployment is delivering quantified results: 80% faster prototyping, 1M+ hours of productivity gains, and partnerships with Google Gemini, OpenAI, and ElevenLabs [3]. Forward P/E of approximately 15x on adjusted earnings and a 3.43% dividend yield provide value entry points during the ongoing transformation. The stock has declined 14% from February highs, creating an opportunity if the WotC growth engine continues to deliver.</w:t>
      </w:r>
    </w:p>
    <w:p>
      <w:pPr>
        <w:spacing w:after="120"/>
      </w:pPr>
      <w:r>
        <w:rPr>
          <w:rFonts w:ascii="Calibri" w:hAnsi="Calibri"/>
          <w:b w:val="0"/>
          <w:color w:val="3A4A28"/>
          <w:sz w:val="20"/>
        </w:rPr>
        <w:t>The balance sheet remains heavily impaired from the eOne era. GAAP D/E of 612%, negative GAAP ROE (-23.3%), and negative net profit margin (-6.86%) reflect accumulated impairment charges that continue to distort financial metrics [7]. Revenue has declined from $6.42B (2021) to $4.70B (2025) as eOne was divested, giving a 4-year CAGR of -7.5%. The Entertainment segment continues to shrink (-20% and -24% in Q2 and Q1 2026 respectively), and Consumer Products growth of 5% suggests the traditional toy business faces secular headwinds from digital entertainment. The $0.70 quarterly dividend has been frozen since 2022 (0.6% five-year growth CAGR), and with GAAP payout ratio meaningless on negative earnings, the dividend's sustainability depends on adjusted cash flow generation. Tariff exposure on China-manufactured toys is a risk CEO Cocks has acknowledged [3]. The stock's decline to $81.55 from $94.49 in February may reflect skepticism about whether the transformation can overcome the balance sheet damage.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Wizards of the Coast and Digital Gaming continuing to deliver 25%+ revenue growth with 46% operating margins, establishing WotC as a durable, high-margin profit engine that transforms Hasbro's earnings quality</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gains (80% faster prototyping, 1M+ hours freed) translating into measurable margin expansion and accelerating the timeline for balance sheet repair through free cash flow generation</w:t>
      </w:r>
    </w:p>
    <w:p>
      <w:pPr>
        <w:spacing w:before="40" w:after="40"/>
        <w:ind w:left="283"/>
      </w:pPr>
      <w:r>
        <w:rPr>
          <w:rFonts w:ascii="Calibri" w:hAnsi="Calibri"/>
          <w:b/>
          <w:color w:val="4A6B25"/>
          <w:sz w:val="20"/>
        </w:rPr>
        <w:t xml:space="preserve">3. </w:t>
      </w:r>
      <w:r>
        <w:rPr>
          <w:rFonts w:ascii="Calibri" w:hAnsi="Calibri"/>
          <w:b w:val="0"/>
          <w:color w:val="3A4A28"/>
          <w:sz w:val="20"/>
        </w:rPr>
        <w:t>Dividend increase from the frozen $0.70/quarter level, which would signal management confidence in the sustainability of the earnings recovery and could re-rate the stock with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impairment from the eOne era persists — 612% D/E, negative GAAP ROE and profit margin create financial fragility and limit strategic flexibility for acquisitions, buybacks, or aggressive investment</w:t>
      </w:r>
    </w:p>
    <w:p>
      <w:pPr>
        <w:spacing w:before="40" w:after="40"/>
        <w:ind w:left="283"/>
      </w:pPr>
      <w:r>
        <w:rPr>
          <w:rFonts w:ascii="Calibri" w:hAnsi="Calibri"/>
          <w:b/>
          <w:color w:val="4A6B25"/>
          <w:sz w:val="20"/>
        </w:rPr>
        <w:t xml:space="preserve">2. </w:t>
      </w:r>
      <w:r>
        <w:rPr>
          <w:rFonts w:ascii="Calibri" w:hAnsi="Calibri"/>
          <w:b w:val="0"/>
          <w:color w:val="3A4A28"/>
          <w:sz w:val="20"/>
        </w:rPr>
        <w:t>Revenue concentration risk as WotC becomes the dominant profit engine — any slowdown in Magic: The Gathering sales (which can be volatile due to set release timing) or digital gaming engagement would disproportionately impact results</w:t>
      </w:r>
    </w:p>
    <w:p>
      <w:pPr>
        <w:spacing w:before="40" w:after="40"/>
        <w:ind w:left="283"/>
      </w:pPr>
      <w:r>
        <w:rPr>
          <w:rFonts w:ascii="Calibri" w:hAnsi="Calibri"/>
          <w:b/>
          <w:color w:val="4A6B25"/>
          <w:sz w:val="20"/>
        </w:rPr>
        <w:t xml:space="preserve">3. </w:t>
      </w:r>
      <w:r>
        <w:rPr>
          <w:rFonts w:ascii="Calibri" w:hAnsi="Calibri"/>
          <w:b w:val="0"/>
          <w:color w:val="3A4A28"/>
          <w:sz w:val="20"/>
        </w:rPr>
        <w:t>Tariff exposure on China-manufactured Consumer Products segment, combined with secular headwinds in traditional toys from digital entertainment, could compress margins in the still-recovering non-WotC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Hasbro's core business spans physical toys (NERF, Play-Doh, Transformers), tabletop gaming (Magic: The Gathering, D&amp;D), and branded entertainment — categories that AI cannot substitute because they depend on physical products, social interaction, and deeply established IP with devoted fan communities [2]. The Magic and D&amp;D communities have explicitly rejected AI-generated content: CEO Cocks noted he personally uses AI in his D&amp;D games but 'people just don't want it' in MTG cards or D&amp;D books, demonstrating that consumer preference protects the IP moat [3]. However, Hasbro faces some AI exposure in digital gaming (Monopoly GO!) where AI tools could lower competitive barriers, and entertainment content creation could be partially automated. The Consumer Products segment also faces general retail disruption. AI Opportunity (1/1): Hasbro is actively deploying AI with quantified results: AI-assisted design + 3D printing reduced concept-to-prototype by 80%, the company expects to free 1 million+ hours of work through AI workflows, and partnerships with Google Gemini, OpenAI, and ElevenLabs are operational across financial planning, forecasting, supply chain, and order management [3]. CEO Cocks stated the company is 'beyond experimentation' with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Hasbro Q1 2026 and Q2 2026 Financial Results and Full Year 2026 Guidance — BusinessWire /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Hasbro CEO Chris Cocks on Wizards of the Coast Growth and Digital Gaming Strategy — Yahoo Finance / Toy Newz, 2026</w:t>
      </w:r>
    </w:p>
    <w:p>
      <w:pPr>
        <w:spacing w:before="20" w:after="20"/>
        <w:ind w:left="170"/>
      </w:pPr>
      <w:r>
        <w:rPr>
          <w:rFonts w:ascii="Calibri" w:hAnsi="Calibri"/>
          <w:b/>
          <w:color w:val="4A6B25"/>
          <w:sz w:val="15"/>
        </w:rPr>
        <w:t xml:space="preserve">3. </w:t>
      </w:r>
      <w:r>
        <w:rPr>
          <w:rFonts w:ascii="Calibri" w:hAnsi="Calibri"/>
          <w:b w:val="0"/>
          <w:color w:val="3A4A28"/>
          <w:sz w:val="17"/>
        </w:rPr>
        <w:t>Hasbro CEO Chris Cocks on AI Integration, Human-Centric Approach — EN World / Retail Dive / The Toy Book, 2025-2026</w:t>
      </w:r>
    </w:p>
    <w:p>
      <w:pPr>
        <w:spacing w:before="20" w:after="20"/>
        <w:ind w:left="170"/>
      </w:pPr>
      <w:r>
        <w:rPr>
          <w:rFonts w:ascii="Calibri" w:hAnsi="Calibri"/>
          <w:b/>
          <w:color w:val="4A6B25"/>
          <w:sz w:val="15"/>
        </w:rPr>
        <w:t xml:space="preserve">4. </w:t>
      </w:r>
      <w:r>
        <w:rPr>
          <w:rFonts w:ascii="Calibri" w:hAnsi="Calibri"/>
          <w:b w:val="0"/>
          <w:color w:val="3A4A28"/>
          <w:sz w:val="17"/>
        </w:rPr>
        <w:t>Hasbro Product Pipeline: Blooms by Play-Doh, Legend of Zelda Partnership with Nintendo — GuruFocus, July 2026</w:t>
      </w:r>
    </w:p>
    <w:p>
      <w:pPr>
        <w:spacing w:before="20" w:after="20"/>
        <w:ind w:left="170"/>
      </w:pPr>
      <w:r>
        <w:rPr>
          <w:rFonts w:ascii="Calibri" w:hAnsi="Calibri"/>
          <w:b/>
          <w:color w:val="4A6B25"/>
          <w:sz w:val="15"/>
        </w:rPr>
        <w:t xml:space="preserve">5. </w:t>
      </w:r>
      <w:r>
        <w:rPr>
          <w:rFonts w:ascii="Calibri" w:hAnsi="Calibri"/>
          <w:b w:val="0"/>
          <w:color w:val="3A4A28"/>
          <w:sz w:val="17"/>
        </w:rPr>
        <w:t>Hasbro ESG Report, Board Governance, and 2023-2024 Restructuring — csr.hasbro.com / SEC DEF 14A, 2025-2026</w:t>
      </w:r>
    </w:p>
    <w:p>
      <w:pPr>
        <w:spacing w:before="20" w:after="20"/>
        <w:ind w:left="170"/>
      </w:pPr>
      <w:r>
        <w:rPr>
          <w:rFonts w:ascii="Calibri" w:hAnsi="Calibri"/>
          <w:b/>
          <w:color w:val="4A6B25"/>
          <w:sz w:val="15"/>
        </w:rPr>
        <w:t xml:space="preserve">6. </w:t>
      </w:r>
      <w:r>
        <w:rPr>
          <w:rFonts w:ascii="Calibri" w:hAnsi="Calibri"/>
          <w:b w:val="0"/>
          <w:color w:val="3A4A28"/>
          <w:sz w:val="17"/>
        </w:rPr>
        <w:t>Hasbro Insider Trading Activity — AltIndex / Nasdaq / StockTitan,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Hasbro Financial Metrics: D/E, ROE, Profit Margin — GuruFocus / StockAnalysis.com,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Hasbro Dividend History and Yield — Dividend.com /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