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HCA</w:t>
      </w:r>
      <w:r>
        <w:rPr>
          <w:rFonts w:ascii="Calibri" w:hAnsi="Calibri"/>
          <w:b/>
          <w:color w:val="1A2010"/>
          <w:sz w:val="40"/>
        </w:rPr>
        <w:t xml:space="preserve">  HCA Healthcare, Inc.</w:t>
      </w:r>
    </w:p>
    <w:p>
      <w:pPr>
        <w:spacing w:after="120"/>
      </w:pPr>
      <w:r>
        <w:rPr>
          <w:rFonts w:ascii="Calibri" w:hAnsi="Calibri"/>
          <w:b/>
          <w:color w:val="6E8450"/>
          <w:sz w:val="18"/>
        </w:rPr>
        <w:t>GROWTH SLEEVE · 2026-08-07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HCA Healthcare is the largest for-profit hospital operator in the United States, operating roughly 190 hospitals and hundreds of ambulatory surgery centers, freestanding ERs, urgent care clinics, and physician practices across 20 states and the UK. The company generated $78.0B in TTM revenue through Q2 2026, up 7.3% YoY, and has built the largest clinical AI deployment in U.S. healthcare through its Department of Digital Transformation and Innovation.</w:t>
      </w:r>
    </w:p>
    <w:p>
      <w:r>
        <w:rPr>
          <w:rFonts w:ascii="Calibri" w:hAnsi="Calibri"/>
          <w:b/>
          <w:color w:val="6E8450"/>
          <w:sz w:val="18"/>
        </w:rPr>
        <w:t>320,000 Employees · https://www.hcahealthcare.com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HCA reorganized around a physician-led, 755-person Department of Digital Transformation and Innovation (DT&amp;I) reporting directly to CEO Sam Hazen — a real operational reinvention, but the underlying business (owning and operating acute-care hospitals) is unchanged [1][3]. AI Deployment (1/2): HCA has developed an AI-driven nurse staffing tool and partnered with Google Cloud on generative AI and Commure/Augmedix on ambient clinical documentation, targeting labor efficiency gains against the 55-60% of opex that is labor cost, though no dollar-specific savings figure has been disclosed yet [3]. Market Share (2/2): HCA is the dominant U.S. for-profit hospital operator with roughly 190 hospitals and $78.0B TTM revenue, a scale no competitor in the space matches [1]. Product Pipeline (1/2): Management has guided to $77-79.5B FY2026 revenue and outlined a facility expansion program, but this is capacity guidance rather than a distinct next-generation product roadmap [1][2]. R&amp;D Intensity (0/1): Hospitals do not report a meaningful formal R&amp;D line item, and no above-industry technology-spend percentage was identified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HCA's mission, 'Above all else, we are committed to the care and improvement of human life,' has been the company's stated purpose for decades and has genuinely shaped major philanthropic commitments, though the for-profit hospital model invites legitimate scrutiny of how consistently it is lived out in practice [4]. Community Impact (2/2): The HCA Healthcare Foundation has given more than $347 million in grants since 1998, including $48.5 million in 2024 alone; CEO Sam Hazen created the $75 million Healthier Tomorrow Fund in 2020, and the employee-run Hope Fund has delivered over $67 million in crisis assistance to more than 40,000 colleague families since 2005 [4]. Employee Retention (1/2): Nurse hiring is up ~19% versus the prior four-quarter average and nurse turnover has fallen to pre-pandemic levels, a positive trend, but this is offset by an EEOC discrimination lawsuit and a $3.5 million settlement over coercive nurse training-repayment agreements [5]. Insider Buying (0/2): No notable net insider buying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HCA carries a stockholders' deficit of -$3.2B (TTM, June 2026) driven by years of aggressive debt-funded share buybacks against $51.6B total debt — because equity is negative, D/E and ROE are not mathematically meaningful and are scored at the floor (0) rather than excluded, reflecting genuine leverage risk rather than data unavailability [1][6]. TTM revenue growth of 7.31% scores 0.91 against the 10% target, and the 5yr revenue CAGR of 6.48% (from $58.8B in 2021 to $75.6B in 2025) scores 0.77 [6]. Forward P/E of 13.33x is well below the 20x target, scoring a full 1.0, and TTM profit margin of 10.07% scores 0.50 against the 20% target [6]. Forward PEG is not available. Dividend yield of 0.76% is below the 2% threshold used for the Dividend sleeve, so HCA is classified Growth. Liquidity floor easily cleared: 986,691 avg volume x $408.89 = $403.5M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HCA's stated mission has genuine philanthropic backing spanning decades, but the company has not demonstrated the existential flexibility or worthy-rivals mindset Sinek looks for, and recurring legal and labor-practice controversies undercut the trust and courage dimensions. This is a well-run, scaled operator playing a largely finite game around margin execution and payer mix, with real but limited infinite-minded elements layered on top.</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'Above all else, we are committed to the care and improvement of human life' has persisted through decades of ownership changes and has shaped genuine philanthropic commitments — the Foundation, Hope Fund, and Healthier Tomorrow Fund [4]. But the for-profit hospital model, combined with a history of legal and regulatory friction (the NC Attorney General's Mission Health quality lawsuit, EEOC discrimination charges), tempers how fully the cause is lived out versus a shareholder-value orientation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Improving nurse retention and hiring trends are genuinely positive, but an EEOC lawsuit alleging denial of a promotion based on race, age, and national origin, plus a $3.5 million settlement over coercive nurse training-repayment agreements, are real low-trust signals from the workforce's perspective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HCA publicly framing its strategy around learning from specific competitors' strengths; public commentary focuses on internal execution and AI scaling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HCA has layered digital transformation and AI capabilities onto an unchanged core business model — owning and operating hospitals for fee-for-service and value-based reimbursement — with no evidence of abandoning or dramatically reshaping a working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Establishing the $75 million Healthier Tomorrow Fund in 2020 amid pandemic uncertainty, and continuing to build a 755-person digital transformation team, reflect real long-term investment [3][4]. There is no clear example of HCA walking away from a profitable but misaligned line of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HCA delivered Q2 2026 revenue of $20.23B (up 8.7% YoY, same-facility growth of 9.3%) and diluted EPS of $7.62 (up 11.6%), pushing TTM revenue to $78.0B against full-year guidance of $77.0-79.5B [1][2]. At a 13.33x forward P/E, the valuation remains modest relative to a business with structural scale advantages, a 320,000-employee workforce, and the industry's most ambitious clinical AI program — a 755-person Department of Digital Transformation and Innovation targeting labor-cost efficiency in a business where labor is 55-60% of operating expense [3]. The company's philanthropic infrastructure (HCA Healthcare Foundation, Hope Fund, Healthier Tomorrow Fund) is genuinely large in scale, and the core hospital business is structurally protected from AI substitution given its physical, regulated nature [4].</w:t>
      </w:r>
    </w:p>
    <w:p>
      <w:pPr>
        <w:spacing w:after="120"/>
      </w:pPr>
      <w:r>
        <w:rPr>
          <w:rFonts w:ascii="Calibri" w:hAnsi="Calibri"/>
          <w:b w:val="0"/>
          <w:color w:val="3A4A28"/>
          <w:sz w:val="20"/>
        </w:rPr>
        <w:t>The mechanical case is weighed down by balance-sheet risk: HCA carries a stockholders' deficit of -$3.2 billion against $51.6 billion in total debt, the product of years of aggressive, debt-funded buybacks, which makes conventional leverage and return-on-equity metrics not just weak but structurally undefined [1][6]. Litigation and labor-practice friction — the North Carolina Attorney General's suit over Mission Health quality commitments, an EEOC discrimination charge, and a $3.5 million nurse training-repayment settlement — undercut the stated mission and drag down the Infinite Game score into FINITE territory [5]. The single largest structural risk flagged by analysts is the growing Medicare Advantage payer mix (~30% of volumes), where increasingly AI-sophisticated utilization management could compress reimbursement over time even though the underlying clinical business itself is AI-resistant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scaling of the Commure/Augmedix ambient AI documentation and Google Cloud generative AI partnerships toward measurable, quantified labor-cost savings given labor is 55-60% of operating expense</w:t>
      </w:r>
    </w:p>
    <w:p>
      <w:pPr>
        <w:spacing w:before="40" w:after="40"/>
        <w:ind w:left="283"/>
      </w:pPr>
      <w:r>
        <w:rPr>
          <w:rFonts w:ascii="Calibri" w:hAnsi="Calibri"/>
          <w:b/>
          <w:color w:val="4A6B25"/>
          <w:sz w:val="20"/>
        </w:rPr>
        <w:t xml:space="preserve">2. </w:t>
      </w:r>
      <w:r>
        <w:rPr>
          <w:rFonts w:ascii="Calibri" w:hAnsi="Calibri"/>
          <w:b w:val="0"/>
          <w:color w:val="3A4A28"/>
          <w:sz w:val="20"/>
        </w:rPr>
        <w:t>Same-facility volume and revenue-per-admission growth sustaining the 8-9% consolidated revenue growth pace seen in Q2 2026, supporting the low end of $77-79.5B FY2026 guidance turning into the high end</w:t>
      </w:r>
    </w:p>
    <w:p>
      <w:pPr>
        <w:spacing w:before="40" w:after="40"/>
        <w:ind w:left="283"/>
      </w:pPr>
      <w:r>
        <w:rPr>
          <w:rFonts w:ascii="Calibri" w:hAnsi="Calibri"/>
          <w:b/>
          <w:color w:val="4A6B25"/>
          <w:sz w:val="20"/>
        </w:rPr>
        <w:t xml:space="preserve">3. </w:t>
      </w:r>
      <w:r>
        <w:rPr>
          <w:rFonts w:ascii="Calibri" w:hAnsi="Calibri"/>
          <w:b w:val="0"/>
          <w:color w:val="3A4A28"/>
          <w:sz w:val="20"/>
        </w:rPr>
        <w:t>De-leveraging or equity-rebuilding actions that move the balance sheet away from a stockholders' deficit, which would materially improve the mechanical Infrastructure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Stockholders' deficit of -$3.2B against $51.6B total debt leaves no equity cushion, so any earnings disruption or credit-market tightening carries outsized balance-sheet consequences</w:t>
      </w:r>
    </w:p>
    <w:p>
      <w:pPr>
        <w:spacing w:before="40" w:after="40"/>
        <w:ind w:left="283"/>
      </w:pPr>
      <w:r>
        <w:rPr>
          <w:rFonts w:ascii="Calibri" w:hAnsi="Calibri"/>
          <w:b/>
          <w:color w:val="4A6B25"/>
          <w:sz w:val="20"/>
        </w:rPr>
        <w:t xml:space="preserve">2. </w:t>
      </w:r>
      <w:r>
        <w:rPr>
          <w:rFonts w:ascii="Calibri" w:hAnsi="Calibri"/>
          <w:b w:val="0"/>
          <w:color w:val="3A4A28"/>
          <w:sz w:val="20"/>
        </w:rPr>
        <w:t>Rising Medicare Advantage payer mix (~30% of volumes) exposes HCA to increasingly AI-sophisticated utilization management and prior-authorization pressure on reimbursement</w:t>
      </w:r>
    </w:p>
    <w:p>
      <w:pPr>
        <w:spacing w:before="40" w:after="40"/>
        <w:ind w:left="283"/>
      </w:pPr>
      <w:r>
        <w:rPr>
          <w:rFonts w:ascii="Calibri" w:hAnsi="Calibri"/>
          <w:b/>
          <w:color w:val="4A6B25"/>
          <w:sz w:val="20"/>
        </w:rPr>
        <w:t xml:space="preserve">3. </w:t>
      </w:r>
      <w:r>
        <w:rPr>
          <w:rFonts w:ascii="Calibri" w:hAnsi="Calibri"/>
          <w:b w:val="0"/>
          <w:color w:val="3A4A28"/>
          <w:sz w:val="20"/>
        </w:rPr>
        <w:t>Recurring legal and labor-practice exposure — the Mission Health quality lawsuit, EEOC discrimination charge, and nurse training-repayment settlement — signal execution and culture risk that could recur and draw further regulatory scrutiny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Hospital care is inherently physical-world and heavily regulated — beds, surgeons, nurses, and licensed facilities cannot be substituted by AI, and HCA's scale (190 hospitals, 320,000 employees) is a structural moat [1]. The one real exposure is on the payer side: Medicare Advantage, now roughly 30% of HCA's volumes, is deploying increasingly AI-sophisticated utilization management and prior-authorization tools that could pressure reimbursement, which is the risk analysts flag most consistently rather than any substitution of care delivery itself [3]. AI Opportunity (0/1): HCA's AI initiatives (ambient documentation, AI-driven nurse staffing) target internal labor-cost efficiency rather than a distinct, quantifiable external AI revenue stream, so this does not qualify as monetized AI revenue under a strict reading.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Services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HCA Healthcare Reports Second Quarter 2026 Results — investor.hcahealthcare.com, July 2026</w:t>
      </w:r>
    </w:p>
    <w:p>
      <w:pPr>
        <w:spacing w:before="20" w:after="20"/>
        <w:ind w:left="170"/>
      </w:pPr>
      <w:r>
        <w:rPr>
          <w:rFonts w:ascii="Calibri" w:hAnsi="Calibri"/>
          <w:b/>
          <w:color w:val="4A6B25"/>
          <w:sz w:val="15"/>
        </w:rPr>
        <w:t xml:space="preserve">2. </w:t>
      </w:r>
      <w:r>
        <w:rPr>
          <w:rFonts w:ascii="Calibri" w:hAnsi="Calibri"/>
          <w:b w:val="0"/>
          <w:color w:val="3A4A28"/>
          <w:sz w:val="17"/>
        </w:rPr>
        <w:t>HCA Healthcare Reports Fourth Quarter 2025 Results and Provides 2026 Guidance — investor.hcahealthcare.com, January 2026</w:t>
      </w:r>
    </w:p>
    <w:p>
      <w:pPr>
        <w:spacing w:before="20" w:after="20"/>
        <w:ind w:left="170"/>
      </w:pPr>
      <w:r>
        <w:rPr>
          <w:rFonts w:ascii="Calibri" w:hAnsi="Calibri"/>
          <w:b/>
          <w:color w:val="4A6B25"/>
          <w:sz w:val="15"/>
        </w:rPr>
        <w:t xml:space="preserve">3. </w:t>
      </w:r>
      <w:r>
        <w:rPr>
          <w:rFonts w:ascii="Calibri" w:hAnsi="Calibri"/>
          <w:b w:val="0"/>
          <w:color w:val="3A4A28"/>
          <w:sz w:val="17"/>
        </w:rPr>
        <w:t>HCA Healthcare's strategic approach to scaling artificial intelligence; Department of Digital Transformation and Innovation — HCA Healthcare Today, July 2026</w:t>
      </w:r>
    </w:p>
    <w:p>
      <w:pPr>
        <w:spacing w:before="20" w:after="20"/>
        <w:ind w:left="170"/>
      </w:pPr>
      <w:r>
        <w:rPr>
          <w:rFonts w:ascii="Calibri" w:hAnsi="Calibri"/>
          <w:b/>
          <w:color w:val="4A6B25"/>
          <w:sz w:val="15"/>
        </w:rPr>
        <w:t xml:space="preserve">4. </w:t>
      </w:r>
      <w:r>
        <w:rPr>
          <w:rFonts w:ascii="Calibri" w:hAnsi="Calibri"/>
          <w:b w:val="0"/>
          <w:color w:val="3A4A28"/>
          <w:sz w:val="17"/>
        </w:rPr>
        <w:t>HCA Healthcare Foundation, Healthier Tomorrow Fund, and Hope Fund community impact materials — hcacaring.org, hcahopefund.com, HCA Healthcare Magazine</w:t>
      </w:r>
    </w:p>
    <w:p>
      <w:pPr>
        <w:spacing w:before="20" w:after="20"/>
        <w:ind w:left="170"/>
      </w:pPr>
      <w:r>
        <w:rPr>
          <w:rFonts w:ascii="Calibri" w:hAnsi="Calibri"/>
          <w:b/>
          <w:color w:val="4A6B25"/>
          <w:sz w:val="15"/>
        </w:rPr>
        <w:t xml:space="preserve">5. </w:t>
      </w:r>
      <w:r>
        <w:rPr>
          <w:rFonts w:ascii="Calibri" w:hAnsi="Calibri"/>
          <w:b w:val="0"/>
          <w:color w:val="3A4A28"/>
          <w:sz w:val="17"/>
        </w:rPr>
        <w:t>EEOC v. HCA Healthcare discrimination charge — eeoc.gov; NC Attorney General Mission Health lawsuit — ncdoj.gov; nurse training-repayment settlement — California Attorney General press release, 2025</w:t>
      </w:r>
    </w:p>
    <w:p>
      <w:pPr>
        <w:spacing w:before="20" w:after="20"/>
        <w:ind w:left="170"/>
      </w:pPr>
      <w:r>
        <w:rPr>
          <w:rFonts w:ascii="Calibri" w:hAnsi="Calibri"/>
          <w:b/>
          <w:color w:val="4A6B25"/>
          <w:sz w:val="15"/>
        </w:rPr>
        <w:t xml:space="preserve">6. </w:t>
      </w:r>
      <w:r>
        <w:rPr>
          <w:rFonts w:ascii="Calibri" w:hAnsi="Calibri"/>
          <w:b w:val="0"/>
          <w:color w:val="3A4A28"/>
          <w:sz w:val="17"/>
        </w:rPr>
        <w:t>StockAnalysis.com — HCA financials, balance sheet, dividend history,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