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HIMS</w:t>
      </w:r>
      <w:r>
        <w:rPr>
          <w:rFonts w:ascii="Calibri" w:hAnsi="Calibri"/>
          <w:b/>
          <w:color w:val="1A2010"/>
          <w:sz w:val="40"/>
        </w:rPr>
        <w:t xml:space="preserve">  Hims &amp; Hers Health, Inc.</w:t>
      </w:r>
    </w:p>
    <w:p>
      <w:pPr>
        <w:spacing w:after="120"/>
      </w:pPr>
      <w:r>
        <w:rPr>
          <w:rFonts w:ascii="Calibri" w:hAnsi="Calibri"/>
          <w:b/>
          <w:color w:val="6E8450"/>
          <w:sz w:val="18"/>
        </w:rPr>
        <w:t>GROWTH SLEEVE · 2026-08-15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Hims &amp; Hers Health operates a direct-to-consumer telehealth platform offering personalized treatments across sexual health, hair loss, dermatology, mental health, and weight management. Q2 2026 revenue grew 40% YoY to $753M with nearly 3 million subscribers, and full-year guidance was raised to $3.1-3.3B, driven by a Novo Nordisk partnership and Wegovy pill distribution. The company faces an active FTC lawsuit (filed July 2026, joined by Utah and California) alleging deceptive billing and unauthorized data sharing with Meta and Snap.</w:t>
      </w:r>
    </w:p>
    <w:p>
      <w:r>
        <w:rPr>
          <w:rFonts w:ascii="Calibri" w:hAnsi="Calibri"/>
          <w:b/>
          <w:color w:val="6E8450"/>
          <w:sz w:val="18"/>
        </w:rPr>
        <w:t>2,442 Employees · https://www.hims.com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Hims &amp; Hers has meaningfully expanded from its original men's-health/hair-loss niche into a GLP-1/weight-management leader via the Novo Nordisk partnership and Wegovy pill distribution, driving 40% YoY revenue growth to $753M in Q2 2026 — a significant new revenue stream, though the business remains concentrated in a single fast-moving regulatory category [1]. AI Deployment (1/2): The company hired Mo Elshenawy, former Cruise CTO, specifically to accelerate an 'AI-based product agenda,' but no shipped AI product or quantified internal savings have been publicly reported yet — this is a stated strategy, not demonstrated deployment [2]. Market Share (1/2): Hims &amp; Hers has grown to nearly 3 million subscribers and is a recognized DTC telehealth leader, but competes in a crowded field (Ro, LifeMD, Noom) without a clearly documented dominant-share claim [1]. Product Pipeline (2/2): Specific, revenue-quantified pipeline exists — the Wegovy pill launch and an international expansion targeted to generate at least $600M of 2026 revenue [1]. R&amp;D Intensity (0/1): As a DTC telehealth/pharmacy distribution company, Hims &amp; Hers' spend is concentrated in marketing and clinical operations rather than R&amp;D, and no above-industry-average R&amp;D intensity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stated purpose of 'bridging the gap between consumers and healthcare' is clear but largely interchangeable with peer DTC telehealth platforms, and CEO Andrew Dudum's own framing emphasizes 'grit' and 'obsessive passion for building products' more than a distinctive patient-outcomes mission [2]. Community Impact (0/2): No distinctive charitable or community investment program was identified. Employee Retention (1/2): No standout turnover data either way for the 2,442-person workforce; treated as industry-average. Insider Buying (0/2): No evidence of meaningful net insider buying was found; the company's regulatory and litigation overhang (FTC lawsuit, Novo Nordisk dispute) has coincided with a period of insider caution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the standout: +40% YoY in Q2 2026 and a 5-year revenue CAGR of approximately 71% (FY2021 $272M to FY2025 $2,348M), both far exceeding the 10% target [1][4]. Every profitability and leverage metric hits its scoring floor: D/E of 477% is well past the 300% floor, ROE of -32.03% and profit margin of -5.51% are both negative (floor), and Forward P/E of 68.94x is above the 60x floor. PEG is not available and was excluded from both the weighted sum and its denominator per the scoring methodology. The stock clears the liquidity floor comfortably at ~$418M in daily dollar volume (14.85M shares/day at $28.15).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Hims &amp; Hers plays a fundamentally finite game at present: growth is real (40% YoY revenue growth, raised guidance to $3.1-3.3B) but the FTC's July 2026 lawsuit alleges the company deceived consumers about billing timing and shared sensitive health data with Meta and Snap without adequate disclosure — findings that directly contradict a patient-first just cause. The forced February 2026 exit from compounded semaglutide after FDA and Novo Nordisk pressure was a regulatory retreat, not a principled choice, and there is no evidence yet of leadership absorbing short-term cost for long-term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healthcare accessible to everyone' is stated but reads as marketing rather than a lived cause — the FTC's July 2026 lawsuit alleges Hims deceived consumers about clinical care and billing, misled them about sharing sensitive health data with Meta and Snap, and charged for prescriptions before a licensed provider had consulted the patient, directly undermining the credibility of a consumer-first mission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 or workforce-instability evidence was identified for the 2,442-person team, and the company has scaled operations without reported internal upheaval, but there is also no distinctive evidence of exceptional psychological safety or retention — an average signal.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company's public posture toward Novo Nordisk has been adversarial litigation rather than a competitive-improvement framing, and no evidence was found of leadership publicly crediting rivals (Ro, LifeMD) as pushing Hims &amp; Hers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Hims &amp; Hers pivoted from a broad multi-category DTC telehealth model toward GLP-1/weight-management leadership via the Novo Nordisk partnership, and is now pushing international expansion targeting $600M+ in 2026 revenue — real business-model evolution, though driven substantially by the forced compounding pullback rather than a proactive cause-driven choice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February 2026 withdrawal of compounded semaglutide products was forced by FDA enforcement posture and Novo Nordisk litigation, not a voluntary principled stance, and no evidence was found of leadership sacrificing near-term revenue by choice rather than regulatory compulsion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Hims &amp; Hers continues to post exceptional top-line growth — Q2 2026 revenue rose 40% YoY to $753M with nearly 300,000 net new subscribers, and management raised full-year guidance to $3.1-3.3B (32-41% YoY growth) with Q3 revenue guided to $880-900M (+47-50% YoY) [1]. The Novo Nordisk partnership and Wegovy pill launch have opened a durable, high-value weight-management franchise, and international expansion is targeted to contribute at least $600M in 2026 revenue, giving the growth story multiple legs beyond the U.S. core [1]. A 5-year revenue CAGR of roughly 71% (from $272M in FY2021 to $2.35B in FY2025) reflects genuine platform scaling, not a one-time spike.</w:t>
      </w:r>
    </w:p>
    <w:p>
      <w:pPr>
        <w:spacing w:after="120"/>
      </w:pPr>
      <w:r>
        <w:rPr>
          <w:rFonts w:ascii="Calibri" w:hAnsi="Calibri"/>
          <w:b w:val="0"/>
          <w:color w:val="3A4A28"/>
          <w:sz w:val="20"/>
        </w:rPr>
        <w:t>The bear case is serious and recently escalated: the FTC, joined by Utah and California, sued Hims &amp; Hers in July 2026 alleging deceptive billing practices (charging customers before a clinician consultation), misleading representations about sharing sensitive health data with Meta and Snap, and unclear disclosure that completing a medical history triggered a recurring subscription — the stock fell 10% on the news [3]. Every profitability metric in the Infrastructure algorithm sits at its scoring floor: ROE of -32.03%, profit margin of -5.51%, D/E of 477% (well past the 300% floor), and Forward P/E of 68.94x, reflecting a company still unprofitable at scale despite rapid revenue growth [4]. The February 2026 forced exit from compounded semaglutide after FDA enforcement and Novo Nordisk litigation shows the core GLP-1 franchise remains exposed to regulatory and legal risk that could resurface. The Inspire Impact Score of -62 (MISALIGNED, driven by the Abortifacients attribution) will exclude the stock from many faith-based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Novo Nordisk partnership and Wegovy pill distribution continuing to scale, with Q3 2026 guidance of $880-900M (+47-50% YoY) suggesting the weight-management franchise still has substantial runway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targeted to contribute at least $600M of 2026 revenue provides a second growth vector diversifying away from single-category (U.S. GLP-1) regulatory risk [1]</w:t>
      </w:r>
    </w:p>
    <w:p>
      <w:pPr>
        <w:spacing w:before="40" w:after="40"/>
        <w:ind w:left="283"/>
      </w:pPr>
      <w:r>
        <w:rPr>
          <w:rFonts w:ascii="Calibri" w:hAnsi="Calibri"/>
          <w:b/>
          <w:color w:val="4A6B25"/>
          <w:sz w:val="20"/>
        </w:rPr>
        <w:t xml:space="preserve">3. </w:t>
      </w:r>
      <w:r>
        <w:rPr>
          <w:rFonts w:ascii="Calibri" w:hAnsi="Calibri"/>
          <w:b w:val="0"/>
          <w:color w:val="3A4A28"/>
          <w:sz w:val="20"/>
        </w:rPr>
        <w:t>Resolution or narrowing of the FTC lawsuit — through settlement, policy changes to billing/consent flows, or a favorable ruling — would remove a meaningful stock-price overhang and could re-rate the multiple higher given the underlying growth 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FTC/Utah/California lawsuit filed July 2026 alleges deceptive billing and unauthorized data sharing with Meta and Snap — an adverse ruling or consent decree could force costly changes to the core subscription and data-monetization model that underpins current margins [3]</w:t>
      </w:r>
    </w:p>
    <w:p>
      <w:pPr>
        <w:spacing w:before="40" w:after="40"/>
        <w:ind w:left="283"/>
      </w:pPr>
      <w:r>
        <w:rPr>
          <w:rFonts w:ascii="Calibri" w:hAnsi="Calibri"/>
          <w:b/>
          <w:color w:val="4A6B25"/>
          <w:sz w:val="20"/>
        </w:rPr>
        <w:t xml:space="preserve">2. </w:t>
      </w:r>
      <w:r>
        <w:rPr>
          <w:rFonts w:ascii="Calibri" w:hAnsi="Calibri"/>
          <w:b w:val="0"/>
          <w:color w:val="3A4A28"/>
          <w:sz w:val="20"/>
        </w:rPr>
        <w:t>Every Infrastructure profitability metric sits at its scoring floor (ROE -32.03%, profit margin -5.51%, D/E 477%), meaning the current growth rate is not yet translating into balance-sheet strength, leaving little cushion if growth decelerates [4]</w:t>
      </w:r>
    </w:p>
    <w:p>
      <w:pPr>
        <w:spacing w:before="40" w:after="40"/>
        <w:ind w:left="283"/>
      </w:pPr>
      <w:r>
        <w:rPr>
          <w:rFonts w:ascii="Calibri" w:hAnsi="Calibri"/>
          <w:b/>
          <w:color w:val="4A6B25"/>
          <w:sz w:val="20"/>
        </w:rPr>
        <w:t xml:space="preserve">3. </w:t>
      </w:r>
      <w:r>
        <w:rPr>
          <w:rFonts w:ascii="Calibri" w:hAnsi="Calibri"/>
          <w:b w:val="0"/>
          <w:color w:val="3A4A28"/>
          <w:sz w:val="20"/>
        </w:rPr>
        <w:t>The business remains structurally exposed to regulatory shifts in a single hot category (GLP-1/compounding) as shown by the forced February 2026 exit from compounded semaglutide after FDA and Novo Nordisk pressure — a repeat regulatory event in a different category could disrupt growth again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Hims &amp; Hers' core business — licensed clinicians prescribing regulated medications through a state-by-state compliance framework — has structural protection from pure AI substitution, since prescribing authority cannot currently be automated end-to-end by a chatbot; this is a genuine regulatory moat [1]. However, AI-powered symptom-checking and health-information tools are increasingly commoditizing the 'front door' of consumer health engagement that DTC telehealth platforms have historically owned, and the FTC lawsuit alleging the company billed customers before a clinician consultation occurred adds business-model risk that compounds any AI-driven disintermediation of that same intake step [3]. AI Opportunity (0/1): No quantified AI-derived revenue has been reported; the Elshenawy CTO hire signals future intent but not current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Hims &amp; Hers Q2 2026 Earnings Release and Earnings Call — Revenue $753M (+40%), Full-Year Guidance Raised to $3.1-3.3B, Subscriber Growth — GuruFocus, Yahoo Finance, investors.hims.com, August 2026</w:t>
      </w:r>
    </w:p>
    <w:p>
      <w:pPr>
        <w:spacing w:before="20" w:after="20"/>
        <w:ind w:left="170"/>
      </w:pPr>
      <w:r>
        <w:rPr>
          <w:rFonts w:ascii="Calibri" w:hAnsi="Calibri"/>
          <w:b/>
          <w:color w:val="4A6B25"/>
          <w:sz w:val="15"/>
        </w:rPr>
        <w:t xml:space="preserve">2. </w:t>
      </w:r>
      <w:r>
        <w:rPr>
          <w:rFonts w:ascii="Calibri" w:hAnsi="Calibri"/>
          <w:b w:val="0"/>
          <w:color w:val="3A4A28"/>
          <w:sz w:val="17"/>
        </w:rPr>
        <w:t>Andrew Dudum Leadership and AI Strategy — Mo Elshenawy (ex-Cruise CTO) CTO Hire, Company Culture — Quartr, TechCrunch, McKesson Ventures, 2025-2026</w:t>
      </w:r>
    </w:p>
    <w:p>
      <w:pPr>
        <w:spacing w:before="20" w:after="20"/>
        <w:ind w:left="170"/>
      </w:pPr>
      <w:r>
        <w:rPr>
          <w:rFonts w:ascii="Calibri" w:hAnsi="Calibri"/>
          <w:b/>
          <w:color w:val="4A6B25"/>
          <w:sz w:val="15"/>
        </w:rPr>
        <w:t xml:space="preserve">3. </w:t>
      </w:r>
      <w:r>
        <w:rPr>
          <w:rFonts w:ascii="Calibri" w:hAnsi="Calibri"/>
          <w:b w:val="0"/>
          <w:color w:val="3A4A28"/>
          <w:sz w:val="17"/>
        </w:rPr>
        <w:t>FTC v. Hims &amp; Hers — Deceptive Billing and Data Privacy Lawsuit (July 2026); Compounded Semaglutide FDA Enforcement and Novo Nordisk Litigation (February 2026) — FTC.gov, CNBC, STAT News, Buchanan Ingersoll &amp; Rooney</w:t>
      </w:r>
    </w:p>
    <w:p>
      <w:pPr>
        <w:spacing w:before="20" w:after="20"/>
        <w:ind w:left="170"/>
      </w:pPr>
      <w:r>
        <w:rPr>
          <w:rFonts w:ascii="Calibri" w:hAnsi="Calibri"/>
          <w:b/>
          <w:color w:val="4A6B25"/>
          <w:sz w:val="15"/>
        </w:rPr>
        <w:t xml:space="preserve">4. </w:t>
      </w:r>
      <w:r>
        <w:rPr>
          <w:rFonts w:ascii="Calibri" w:hAnsi="Calibri"/>
          <w:b w:val="0"/>
          <w:color w:val="3A4A28"/>
          <w:sz w:val="17"/>
        </w:rPr>
        <w:t>StockAnalysis.com — HIMS Key Statistics and Financials: Forward P/E 68.94x, ROE -32.03%, Profit Margin -5.51%, D/E 4.77, Stock Price $28.15,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