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HOMB</w:t>
      </w:r>
      <w:r>
        <w:rPr>
          <w:rFonts w:ascii="Calibri" w:hAnsi="Calibri"/>
          <w:b/>
          <w:color w:val="1A2010"/>
          <w:sz w:val="40"/>
        </w:rPr>
        <w:t xml:space="preserve">  Home BancShares, Inc.</w:t>
      </w:r>
    </w:p>
    <w:p>
      <w:pPr>
        <w:spacing w:after="120"/>
      </w:pPr>
      <w:r>
        <w:rPr>
          <w:rFonts w:ascii="Calibri" w:hAnsi="Calibri"/>
          <w:b/>
          <w:color w:val="6E8450"/>
          <w:sz w:val="18"/>
        </w:rPr>
        <w:t>DIVIDEND SLEEVE · 2026-08-02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Home BancShares, Inc. operates as the bank holding company for Centennial Bank, providing commercial and retail banking and related financial services to businesses, real estate developers and investors, individuals, and municipalities. The company operates branches across Arkansas, Florida, Texas, South Alabama, and New York City, with total assets reaching $24.71B following the Mountain Commerce Bancorp acquisition in April 2026.</w:t>
      </w:r>
    </w:p>
    <w:p>
      <w:r>
        <w:rPr>
          <w:rFonts w:ascii="Calibri" w:hAnsi="Calibri"/>
          <w:b/>
          <w:color w:val="6E8450"/>
          <w:sz w:val="18"/>
        </w:rPr>
        <w:t>2,543 Employees · https://www.homebancshares.com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Home BancShares has executed a highly successful M&amp;A-driven growth strategy, growing total assets from ~$18B to $24.71B through strategic acquisitions including the recently completed Mountain Commerce Bancorp merger (effective April 1, 2026), which added $1.47B in loans and significant deposits [1]. Q2 2026 delivered record adjusted revenue of $295.1M (up 10.6% sequentially) and record adjusted net income of $128.1M [1]. AI Deployment (0/2): No evidence of AI-powered products or quantified AI-driven cost savings; the company has not publicly discussed AI deployment [3]. Market Share (1/2): Centennial Bank is a meaningful regional franchise with strong positions in Arkansas, Florida, and select markets, with top-tier profitability (ROA of 2.09%) distinguishing it among peers, but it competes against much larger national banks [1][2]. Product Pipeline (1/2): Mountain Commerce integration provides near-term growth visibility, and Chairman Allison has signaled openness to additional M&amp;A throughout the footprint [1]. R&amp;D Intensity (1/1): Meaningful investment in digital banking and technology infrastructure relative to similarly sized community banks.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Home BancShares positions itself as a community-focused bank that serves attractive markets through experienced bankers with strong local relationships [2]. Clear purpose but not distinctively inspirational compared to hundreds of community bank holding companies. Community Impact (1/2): Centennial Bank appointed Audra Foster as Director of Corporate Social Responsibility in 2021, formalizing ESG initiatives around People, Planet, and Prosperity [2]. The bank maintains active local community involvement, though specific dollar amounts for charitable programs are not publicly detailed. Employee Retention (1/2): Exceptional leadership stability — Chairman/CEO John W. Allison has led the company since 1998 (28 years), with President Kevin Hester and Centennial Bank CEO Stephen Tipton promoted from within in 2024 [2][4]. The orderly internal succession suggests a stable culture that develops talent from within. Insider Buying (1/2): Allison remains the company's largest shareholder, with his significant ownership stake aligning his interests with shareholders over a 28-year tenure [4]. This represents meaningful long-term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D/E (banks use capital adequacy ratios instead). Home BancShares delivers top-tier financial performance for a regional bank. Q2 2026 produced record revenue of $295.1M (up 8.9% YoY) and adjusted net income of $128.1M with ROA of 2.09% — exceptional for the banking industry [1]. ROE of 11.4% falls below the 15% target but is solid for a conservatively managed bank. Forward P/E of 10.3x is highly attractive, well below the 20x target. Profit margin of 43.6% is exceptional. Dividend metrics are robust: 35.8% payout ratio is conservative, 20 consecutive years of dividends paid, 16 consecutive years of growth, and 5-year dividend growth CAGR of 9.3% — all scoring at or near maximum on 2x-weighted metrics [3][5]. Liquidity floor cleared: 2M avg volume x $27.65 = $55.3M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Home BancShares demonstrates strong infinite game characteristics anchored by John Allison's 28-year tenure as Chairman/CEO, a consistent community banking philosophy, and a proven M&amp;A strategy that has grown total assets from a small Arkansas bank to a $24.7B multi-state franchise. The company plays to endure in its communities through long-term relationship banking, with a 120+ year operating history validating consistency of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Home BancShares has a genuine community banking purpose — serving local businesses, real estate developers, and individuals through experienced bankers with deep local relationships [2]. This purpose has been consistently validated over 120+ years of operation (founded 1903) and through Allison's 28-year leadership, during which the company grew from a small Arkansas bank to a multi-state franchise while maintaining its community focus. The Just Cause is authentic and enduring but not transformative.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Exceptional organizational trust demonstrated by Allison's 28-year tenure, orderly internal successions (Kevin Hester to President, Stephen Tipton to Centennial Bank CEO in 2024), and the appointment of Audra Foster as Director of CSR — all reflecting a stable culture that develops and promotes from within [2][4]. With 2,543 employees across five states, the company maintains a community banking culture where local bankers have decision-making authority and personal accountability.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Home BancShares competes with larger national banks and regional peers without destructive competitive language. Allison's M&amp;A approach is collaborative — acquiring banks and integrating their teams rather than competing them out of existence [1][4]. The company focuses on being the best community bank in its markets rather than defeating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Home BancShares has evolved meaningfully from a small Arkansas community bank into a multi-state, $24.7B asset franchise through geographic expansion into Florida, Texas, Alabama, and New York City, plus addition of trust, wealth management, and insurance services [1][2]. The Mountain Commerce acquisition extends the Tennessee footprint. However, these are evolutionary growth moves within community banking, not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Allison demonstrated courage through aggressive but disciplined M&amp;A during periods of banking stress — Home BancShares acquired distressed FDIC-failed banks during the 2008-2012 financial crisis at attractive prices, building the foundation for today's $24.7B franchise [2][4]. The Mountain Commerce acquisition in 2026 continues this counter-cyclical value-creation strategy while maintaining top-tier ROA of 2.09% [1]. However, M&amp;A-driven growth is an established playbook for community banks.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Home BancShares is a top-tier community bank franchise delivering exceptional Q2 2026 results — record revenue of $295.1M (up 8.9% YoY), record adjusted net income of $128.1M, and ROA of 2.09% placing HOMB among the highest-returning banks in the country [1]. At 10.3x forward P/E with a 3.0% dividend yield, 16 consecutive years of dividend growth (9.3% 5-year CAGR), and a conservative 35.8% payout ratio, the stock offers compelling value for income-oriented investors [3][5]. The Mountain Commerce Bancorp acquisition (completed April 1, 2026) added $1.47B in loans and expanded the Tennessee footprint, with management signaling openness to additional deals [1]. Total assets reached $24.71B, loans grew to $17.13B, and deposits to $19.11B [1]. The 120-year operating history and Allison's 28-year leadership provide institutional stability rare among regional banks.</w:t>
      </w:r>
    </w:p>
    <w:p>
      <w:pPr>
        <w:spacing w:after="120"/>
      </w:pPr>
      <w:r>
        <w:rPr>
          <w:rFonts w:ascii="Calibri" w:hAnsi="Calibri"/>
          <w:b w:val="0"/>
          <w:color w:val="3A4A28"/>
          <w:sz w:val="20"/>
        </w:rPr>
        <w:t>The bear case centers on credit cycle risk and concentration. Non-performing loans have been rising, highlighting the inherent credit risk in commercial real estate and construction lending — HOMB's primary loan categories [1]. If CRE valuations decline (particularly in Florida and Texas where HOMB has significant exposure), loan losses could compress earnings meaningfully. The 5-year revenue CAGR of 5.5% reflects the inherent growth limitations of community banking without M&amp;A. Allison is the linchpin of the growth strategy, and his eventual succession (28-year tenure) represents key-man risk — the internal pipeline (Hester, Tipton) is in place but unproven at the top [2][4]. Regional banking faces secular pressures from fintech competition for deposits and loans, and further M&amp;A depends on finding attractive targets at reasonable valuations. ROE of 11.4% is below the 15% target, and the stock price of $27.65 offers limited upside to the $33.00 analyst consensus target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Mountain Commerce Bancorp integration expected to be accretive to EPS, adding $1.47B in loans and expanding HOMB's Tennessee presence with total assets now at $24.71B [1]</w:t>
      </w:r>
    </w:p>
    <w:p>
      <w:pPr>
        <w:spacing w:before="40" w:after="40"/>
        <w:ind w:left="283"/>
      </w:pPr>
      <w:r>
        <w:rPr>
          <w:rFonts w:ascii="Calibri" w:hAnsi="Calibri"/>
          <w:b/>
          <w:color w:val="4A6B25"/>
          <w:sz w:val="20"/>
        </w:rPr>
        <w:t xml:space="preserve">2. </w:t>
      </w:r>
      <w:r>
        <w:rPr>
          <w:rFonts w:ascii="Calibri" w:hAnsi="Calibri"/>
          <w:b w:val="0"/>
          <w:color w:val="3A4A28"/>
          <w:sz w:val="20"/>
        </w:rPr>
        <w:t>Potential additional M&amp;A activity as Chairman Allison has publicly signaled openness to further deals, leveraging HOMB's strong currency (2.09% ROA, $128.1M record adjusted net income) [1]</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trajectory with 16 consecutive years of increases, 9.3% 5-year CAGR, and a conservative 35.8% payout ratio providing substantial room for further increases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Rising non-performing loans in CRE and construction lending expose HOMB to credit cycle deterioration, particularly in Florida and Texas markets with elevated property valuations [1]</w:t>
      </w:r>
    </w:p>
    <w:p>
      <w:pPr>
        <w:spacing w:before="40" w:after="40"/>
        <w:ind w:left="283"/>
      </w:pPr>
      <w:r>
        <w:rPr>
          <w:rFonts w:ascii="Calibri" w:hAnsi="Calibri"/>
          <w:b/>
          <w:color w:val="4A6B25"/>
          <w:sz w:val="20"/>
        </w:rPr>
        <w:t xml:space="preserve">2. </w:t>
      </w:r>
      <w:r>
        <w:rPr>
          <w:rFonts w:ascii="Calibri" w:hAnsi="Calibri"/>
          <w:b w:val="0"/>
          <w:color w:val="3A4A28"/>
          <w:sz w:val="20"/>
        </w:rPr>
        <w:t>Key-man risk from Chairman/CEO Allison's 28-year tenure — internal succession is in place (Hester, Tipton) but his relationships, deal-making instincts, and strategic vision are difficult to replicate [2][4]</w:t>
      </w:r>
    </w:p>
    <w:p>
      <w:pPr>
        <w:spacing w:before="40" w:after="40"/>
        <w:ind w:left="283"/>
      </w:pPr>
      <w:r>
        <w:rPr>
          <w:rFonts w:ascii="Calibri" w:hAnsi="Calibri"/>
          <w:b/>
          <w:color w:val="4A6B25"/>
          <w:sz w:val="20"/>
        </w:rPr>
        <w:t xml:space="preserve">3. </w:t>
      </w:r>
      <w:r>
        <w:rPr>
          <w:rFonts w:ascii="Calibri" w:hAnsi="Calibri"/>
          <w:b w:val="0"/>
          <w:color w:val="3A4A28"/>
          <w:sz w:val="20"/>
        </w:rPr>
        <w:t>Regional banking secular pressure from fintech and neobank competition for deposits and consumer loans, plus limited organic growth (5.5% 5-year revenue CAGR) without M&amp;A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Community banking is protected from AI disruption by several structural factors: regulatory compliance requirements (KYC, BSA/AML), relationship-driven commercial lending requiring local market knowledge, physical branch networks, and FDIC-insured deposit-taking that AI companies cannot replicate without bank charters [2]. Centennial Bank's focus on commercial real estate, construction/land development, and agricultural lending involves collateral-based underwriting and borrower relationships that resist algorithmic replacement. However, AI poses moderate exposure in consumer banking — digital-native neobanks and AI-powered lending platforms compete for deposits and consumer loans, and AI tools for fraud detection and customer service are becoming table stakes [3]. AI Opportunity (0/1): Home BancShares does not generate AI-related revenue and has not publicly discussed AI deployment as a revenue driver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Home BancShares Q2 2026 Earnings Release — Record revenue $295.1M (up 8.9% YoY), adjusted net income $128.1M (up 8.4%), total assets $24.71B, loans $17.13B, deposits $19.11B; July 2026</w:t>
      </w:r>
    </w:p>
    <w:p>
      <w:pPr>
        <w:spacing w:before="20" w:after="20"/>
        <w:ind w:left="170"/>
      </w:pPr>
      <w:r>
        <w:rPr>
          <w:rFonts w:ascii="Calibri" w:hAnsi="Calibri"/>
          <w:b/>
          <w:color w:val="4A6B25"/>
          <w:sz w:val="15"/>
        </w:rPr>
        <w:t xml:space="preserve">2. </w:t>
      </w:r>
      <w:r>
        <w:rPr>
          <w:rFonts w:ascii="Calibri" w:hAnsi="Calibri"/>
          <w:b w:val="0"/>
          <w:color w:val="3A4A28"/>
          <w:sz w:val="17"/>
        </w:rPr>
        <w:t>Home BancShares corporate profile — Chairman/CEO John Allison (28-year tenure), community banking philosophy, leadership succession (Hester, Tipton); homebancshares.com, 2024-2026</w:t>
      </w:r>
    </w:p>
    <w:p>
      <w:pPr>
        <w:spacing w:before="20" w:after="20"/>
        <w:ind w:left="170"/>
      </w:pPr>
      <w:r>
        <w:rPr>
          <w:rFonts w:ascii="Calibri" w:hAnsi="Calibri"/>
          <w:b/>
          <w:color w:val="4A6B25"/>
          <w:sz w:val="15"/>
        </w:rPr>
        <w:t xml:space="preserve">3. </w:t>
      </w:r>
      <w:r>
        <w:rPr>
          <w:rFonts w:ascii="Calibri" w:hAnsi="Calibri"/>
          <w:b w:val="0"/>
          <w:color w:val="3A4A28"/>
          <w:sz w:val="17"/>
        </w:rPr>
        <w:t>Home BancShares Q1 2026 Earnings Release — $118.2M net income, $0.60 EPS, 2.09% ROA, Mountain Commerce acquisition completion; April 2026</w:t>
      </w:r>
    </w:p>
    <w:p>
      <w:pPr>
        <w:spacing w:before="20" w:after="20"/>
        <w:ind w:left="170"/>
      </w:pPr>
      <w:r>
        <w:rPr>
          <w:rFonts w:ascii="Calibri" w:hAnsi="Calibri"/>
          <w:b/>
          <w:color w:val="4A6B25"/>
          <w:sz w:val="15"/>
        </w:rPr>
        <w:t xml:space="preserve">4. </w:t>
      </w:r>
      <w:r>
        <w:rPr>
          <w:rFonts w:ascii="Calibri" w:hAnsi="Calibri"/>
          <w:b w:val="0"/>
          <w:color w:val="3A4A28"/>
          <w:sz w:val="17"/>
        </w:rPr>
        <w:t>American Banker — Johnny Allison Returns as CEO, largest shareholder, M&amp;A strategy; 2019</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HOMB Key Statistics ($27.65 price, Forward PE 10.34, dividend yield 3.04%, avg volume 2M),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