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HUM</w:t>
      </w:r>
      <w:r>
        <w:rPr>
          <w:rFonts w:ascii="Calibri" w:hAnsi="Calibri"/>
          <w:b/>
          <w:color w:val="1A2010"/>
          <w:sz w:val="40"/>
        </w:rPr>
        <w:t xml:space="preserve">  Humana Inc.</w:t>
      </w:r>
    </w:p>
    <w:p>
      <w:pPr>
        <w:spacing w:after="120"/>
      </w:pPr>
      <w:r>
        <w:rPr>
          <w:rFonts w:ascii="Calibri" w:hAnsi="Calibri"/>
          <w:b/>
          <w:color w:val="6E8450"/>
          <w:sz w:val="18"/>
        </w:rPr>
        <w:t>GROWTH SLEEVE · 2026-07-20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Humana Inc. is a health and well-being company operating as one of the largest Medicare Advantage insurers in the United States. The company operates through Insurance (Medicare Advantage, Medicaid, commercial group, specialty benefits) and CenterWell (primary care clinics, home health, pharmacy) segments. Humana serves approximately 17 million medical members and operates CenterWell Senior Primary Care centers across the U.S. Founded in 1961, headquartered in Louisville, Kentucky.</w:t>
      </w:r>
    </w:p>
    <w:p>
      <w:r>
        <w:rPr>
          <w:rFonts w:ascii="Calibri" w:hAnsi="Calibri"/>
          <w:b/>
          <w:color w:val="6E8450"/>
          <w:sz w:val="18"/>
        </w:rPr>
        <w:t>67,060 Employees · https://www.humana.com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Humana's CenterWell segment represents a genuine business model transformation from pure insurance to integrated value-based healthcare delivery, with CenterWell Senior Primary Care adding 110,000 patients sequentially in Q1 2026 (22.5% increase) [1][2]. Individual Medicare Advantage membership grew approximately 22% YoY, the most aggressive organic growth among large MA insurers. However, the core insurance model remains unchanged — CenterWell is an extension, not a reinvention. AI Deployment (1/2): Humana hired Aaron Martin from Amazon to lead digital innovation and AI strategy, and the company has deployed AI for claims processing and member engagement [3]. However, this AI deployment led to a class action lawsuit alleging AI-driven denial of post-acute care to Medicare Advantage beneficiaries, creating legal liability rather than quantified efficiency gains [5]. Market Share (2/2): Humana is the second-largest Medicare Advantage insurer in the U.S. behind UnitedHealthcare, with approximately 22% YoY membership growth reflecting aggressive share gains in the fastest-growing segment of U.S. healthcare [1]. Product Pipeline (1/2): CenterWell clinic expansion and the 3% MA margin target by 2028 provide strategic visibility, but no revolutionary new products or services have been announced [2]. R&amp;D Intensity (0/1): Health insurance companies do not report traditional R&amp;D spending; technology investment is embedded in operating costs.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Humana's purpose — 'To help people achieve lifelong well-being' — is clear and identifies the company's aspiration, but it is largely interchangeable with any health insurer's mission statement and does not articulate a distinctive or transformative vision [3]. The connection between this purpose and strategic decisions (such as aggressive MA membership growth or the AI denial of care controversy) is not always evident. Community Impact (1/2): Humana's Bold Goal program focuses on improving health outcomes in underserved communities by addressing social determinants of health, and CenterWell clinics provide primary care to seniors who may otherwise lack access [3]. However, specific charitable giving amounts or community investment figures were not identified. Employee Retention (0/2): CEO Jim Rechtin publicly stated 'We are not where we want to be' regarding organizational culture and initiated a turnaround focused on culture change, suggesting meaningful internal challenges [3]. With 67,060 employees and a new leadership team (Rechtin is relatively new as CEO, Martin recently hired as CTO from Amazon), the organization is in transition. Insider Buying (0/2): No evidence of meaningful net insider buying by executives in the past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$39.6B in revenue (up 23% YoY) driven by 22% MA membership growth, but adjusted EPS of $10.31 declined 11% from $11.58 in Q1 2025 due to elevated medical cost trends and Star Ratings headwinds [1][2]. FY2026 adjusted EPS guidance affirmed at $9.00, representing a year-over-year decline as the company absorbs Bonus Year 2026 Star Ratings impact. D/E of 77% is near the 70% target. ROE of 6.28% is well below the 15% target, reflecting thin insurance margins (profit margin of just 0.82% on $137B in revenue) [6]. Forward P/E of 37.87 is elevated relative to the managed care peer group. The company generated $1.27B in TTM free cash flow, supporting the $3.54 annual dividend and share repurchases. Five-year revenue CAGR of approximately 11% reflects steady MA enrollment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Humana under new CEO Jim Rechtin is in turnaround mode, acknowledging publicly that the company is 'not where we want to be' on culture, operations, and member experience. The 3% MA margin target by 2028 is a finite, measurable goal — appropriate for a turnaround but not a Just Cause. The CenterWell expansion shows some strategic flexibility, but the organization's culture challenges, legal controversies (AI denial of care, Medicare fraud settlement), and quarterly-earnings focus suggest a company playing to survive this cycle rather than playing to endure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 help people achieve lifelong well-being' is a purpose statement but not a Just Cause in Sinek's framework — it does not describe a future state that doesn't yet exist, and it is not differentiated from any other health insurer's stated purpose [3]. Strategic decisions like aggressive MA membership growth that outpaces the company's ability to manage medical costs, and AI-driven claims denial that led to lawsuits, do not visibly trace back to this purpose. The cause exists on paper but does not appear to drive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Rechtin's public acknowledgment that Humana is 'not where we want to be' and his focus on culture change suggest meaningful trust deficits within the organization [3]. The company is undergoing leadership transitions — new CEO, new CTO from Amazon, leadership consolidation in Medicare Advantage — which can create uncertainty and reduce psychological safety. The AI denial-of-care lawsuit suggests that algorithmic decision-making may have replaced clinical judgment in ways that frontline employees could not challenge, which is the opposite of a trusting team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Humana's competitive language centers on membership growth targets and market share in Medicare Advantage, framing competition with UnitedHealthcare and CVS/Aetna as a race to capture enrollment rather than an opportunity for mutual improvement. The 25% MA membership growth target is a finite metric focused on 'winning'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CenterWell expansion represents meaningful strategic flexibility — Humana is building a vertically integrated healthcare delivery platform (primary care clinics, home health, pharmacy) alongside its insurance business, moving from pure risk underwriting toward value-based care delivery [2]. This is a significant evolution but not yet transformative — insurance still generates the vast majority of revenue, and CenterWell's economic model has not been proven at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Rechtin's willingness to publicly state 'we are not where we want to be' and pursue a multi-year turnaround plan toward 3% MA margins by 2028 shows some courage — he is setting expectations for near-term pain in service of longer-term sustainability [3]. The continued investment in CenterWell clinic expansion despite margin compression demonstrates willingness to invest through difficulty. However, the company's $90M Medicare fraud settlement and AI denial-of-care lawsuit suggest past leadership prioritized financial performance over principled decision-making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Humana delivered Q1 2026 revenue of $39.6B (up 23% YoY) powered by approximately 22% Medicare Advantage membership growth, with the insurance segment benefit ratio of 89.4% slightly better than the 'just under 90%' guidance [1]. The company is the second-largest MA insurer in the U.S. and is building a vertically integrated healthcare platform through CenterWell (primary care, home health, pharmacy), which added 110,000 patients sequentially in Q1 [2]. Revenue has compounded at approximately 11% annually over five years, and the $48B market cap is supported by $1.27B in free cash flow. The strategic pivot toward value-based care through CenterWell could create significant long-term value if the integrated model improves outcomes and reduces costs.</w:t>
      </w:r>
    </w:p>
    <w:p>
      <w:pPr>
        <w:spacing w:after="120"/>
      </w:pPr>
      <w:r>
        <w:rPr>
          <w:rFonts w:ascii="Calibri" w:hAnsi="Calibri"/>
          <w:b w:val="0"/>
          <w:color w:val="3A4A28"/>
          <w:sz w:val="20"/>
        </w:rPr>
        <w:t>The bear case is substantial. Adjusted EPS declined 11% YoY in Q1 2026 ($10.31 vs. $11.58), and FY2026 adjusted guidance of $9.00 implies further earnings deterioration from Star Ratings headwinds and elevated medical cost trends [1][2]. Profit margin of 0.82% on $137B in revenue leaves essentially no cushion for cost overruns or regulatory changes. At 37.87x forward earnings and PEG of 1.95, valuation assumes successful execution of the 3% MA margin target by 2028, which is far from guaranteed given current margin compression. Legal risks are escalating: a $90M False Claims Act settlement for Medicare Part D fraud, a class action lawsuit over AI-driven denial of post-acute care, and DOJ complaints over marketing violations create a pattern of regulatory and legal exposure [5]. CEO Rechtin's public acknowledgment that the company is 'not where we want to be' on culture and operations underscores the depth of the turnaround challenge.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Individual Medicare Advantage membership growth of approximately 25% in FY2026 could drive premium revenue acceleration and scale-based cost efficiencies</w:t>
      </w:r>
    </w:p>
    <w:p>
      <w:pPr>
        <w:spacing w:before="40" w:after="40"/>
        <w:ind w:left="283"/>
      </w:pPr>
      <w:r>
        <w:rPr>
          <w:rFonts w:ascii="Calibri" w:hAnsi="Calibri"/>
          <w:b/>
          <w:color w:val="4A6B25"/>
          <w:sz w:val="20"/>
        </w:rPr>
        <w:t xml:space="preserve">2. </w:t>
      </w:r>
      <w:r>
        <w:rPr>
          <w:rFonts w:ascii="Calibri" w:hAnsi="Calibri"/>
          <w:b w:val="0"/>
          <w:color w:val="3A4A28"/>
          <w:sz w:val="20"/>
        </w:rPr>
        <w:t>CenterWell vertical integration (primary care, home health, pharmacy) improving total cost of care and enabling the 3% MA margin target by 2028</w:t>
      </w:r>
    </w:p>
    <w:p>
      <w:pPr>
        <w:spacing w:before="40" w:after="40"/>
        <w:ind w:left="283"/>
      </w:pPr>
      <w:r>
        <w:rPr>
          <w:rFonts w:ascii="Calibri" w:hAnsi="Calibri"/>
          <w:b/>
          <w:color w:val="4A6B25"/>
          <w:sz w:val="20"/>
        </w:rPr>
        <w:t xml:space="preserve">3. </w:t>
      </w:r>
      <w:r>
        <w:rPr>
          <w:rFonts w:ascii="Calibri" w:hAnsi="Calibri"/>
          <w:b w:val="0"/>
          <w:color w:val="3A4A28"/>
          <w:sz w:val="20"/>
        </w:rPr>
        <w:t>Star Ratings improvement in Bonus Year 2027 reversing the current headwind and unlocking quality bonus payments that enhance per-member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0.82% provides virtually no buffer against medical cost trend acceleration — a 100bps increase in the benefit ratio erodes nearly all net income on $137B in revenue</w:t>
      </w:r>
    </w:p>
    <w:p>
      <w:pPr>
        <w:spacing w:before="40" w:after="40"/>
        <w:ind w:left="283"/>
      </w:pPr>
      <w:r>
        <w:rPr>
          <w:rFonts w:ascii="Calibri" w:hAnsi="Calibri"/>
          <w:b/>
          <w:color w:val="4A6B25"/>
          <w:sz w:val="20"/>
        </w:rPr>
        <w:t xml:space="preserve">2. </w:t>
      </w:r>
      <w:r>
        <w:rPr>
          <w:rFonts w:ascii="Calibri" w:hAnsi="Calibri"/>
          <w:b w:val="0"/>
          <w:color w:val="3A4A28"/>
          <w:sz w:val="20"/>
        </w:rPr>
        <w:t>Escalating legal liability from $90M Medicare fraud settlement, AI denial-of-care class action, and DOJ marketing violation complaint create cumulative financial and reputational risk</w:t>
      </w:r>
    </w:p>
    <w:p>
      <w:pPr>
        <w:spacing w:before="40" w:after="40"/>
        <w:ind w:left="283"/>
      </w:pPr>
      <w:r>
        <w:rPr>
          <w:rFonts w:ascii="Calibri" w:hAnsi="Calibri"/>
          <w:b/>
          <w:color w:val="4A6B25"/>
          <w:sz w:val="20"/>
        </w:rPr>
        <w:t xml:space="preserve">3. </w:t>
      </w:r>
      <w:r>
        <w:rPr>
          <w:rFonts w:ascii="Calibri" w:hAnsi="Calibri"/>
          <w:b w:val="0"/>
          <w:color w:val="3A4A28"/>
          <w:sz w:val="20"/>
        </w:rPr>
        <w:t>FY2026 adjusted EPS guidance of $9.00 represents year-over-year earnings decline despite 23% revenue growth, demonstrating that Humana is growing membership faster than its ability to profitably manage care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Healthcare insurance is a heavily regulated industry where AI cannot substitute for the core underwriting, actuarial, provider network management, and regulatory compliance functions that define managed care [3]. Humana's CenterWell physical healthcare delivery (clinics, home health) adds a second layer of AI immunity — AI cannot perform a physical exam or provide in-person care. However, AI creates meaningful disruption risk in claims processing, prior authorization, and administrative functions that currently employ thousands of workers. More critically, competitors deploying AI more effectively could gain cost advantages in administrative efficiency and member engagement. The class action lawsuit alleging AI-driven denial of post-acute care demonstrates that AI deployment in healthcare carries unique regulatory and reputational risks not present in other industries [5]. AI Opportunity (0/1): Despite hiring Aaron Martin from Amazon and deploying AI for claims processing and member engagement, Humana has not reported quantifiable AI-generated revenue or cost savings [3]. The AI-in-claims-processing initiative has generated legal liability (class action lawsuit) rather than measurable financial benefit.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Humana Q1 2026 Earnings Release, SEC Form 8-K, April 2026</w:t>
      </w:r>
    </w:p>
    <w:p>
      <w:pPr>
        <w:spacing w:before="20" w:after="20"/>
        <w:ind w:left="170"/>
      </w:pPr>
      <w:r>
        <w:rPr>
          <w:rFonts w:ascii="Calibri" w:hAnsi="Calibri"/>
          <w:b/>
          <w:color w:val="4A6B25"/>
          <w:sz w:val="15"/>
        </w:rPr>
        <w:t xml:space="preserve">2. </w:t>
      </w:r>
      <w:r>
        <w:rPr>
          <w:rFonts w:ascii="Calibri" w:hAnsi="Calibri"/>
          <w:b w:val="0"/>
          <w:color w:val="3A4A28"/>
          <w:sz w:val="17"/>
        </w:rPr>
        <w:t>TIKR — Humana Q1 2026: Revenue Jumps 23%, But Margin Compression Tells the Real Story, 2026</w:t>
      </w:r>
    </w:p>
    <w:p>
      <w:pPr>
        <w:spacing w:before="20" w:after="20"/>
        <w:ind w:left="170"/>
      </w:pPr>
      <w:r>
        <w:rPr>
          <w:rFonts w:ascii="Calibri" w:hAnsi="Calibri"/>
          <w:b/>
          <w:color w:val="4A6B25"/>
          <w:sz w:val="15"/>
        </w:rPr>
        <w:t xml:space="preserve">3. </w:t>
      </w:r>
      <w:r>
        <w:rPr>
          <w:rFonts w:ascii="Calibri" w:hAnsi="Calibri"/>
          <w:b w:val="0"/>
          <w:color w:val="3A4A28"/>
          <w:sz w:val="17"/>
        </w:rPr>
        <w:t>Fortune — Humana CEO is Betting on Culture Change and AI to Fuel a Turnaround, November 2025</w:t>
      </w:r>
    </w:p>
    <w:p>
      <w:pPr>
        <w:spacing w:before="20" w:after="20"/>
        <w:ind w:left="170"/>
      </w:pPr>
      <w:r>
        <w:rPr>
          <w:rFonts w:ascii="Calibri" w:hAnsi="Calibri"/>
          <w:b/>
          <w:color w:val="4A6B25"/>
          <w:sz w:val="15"/>
        </w:rPr>
        <w:t xml:space="preserve">4. </w:t>
      </w:r>
      <w:r>
        <w:rPr>
          <w:rFonts w:ascii="Calibri" w:hAnsi="Calibri"/>
          <w:b w:val="0"/>
          <w:color w:val="3A4A28"/>
          <w:sz w:val="17"/>
        </w:rPr>
        <w:t>Humana FY2025 Annual Report, SEC Form ARS, 2026</w:t>
      </w:r>
    </w:p>
    <w:p>
      <w:pPr>
        <w:spacing w:before="20" w:after="20"/>
        <w:ind w:left="170"/>
      </w:pPr>
      <w:r>
        <w:rPr>
          <w:rFonts w:ascii="Calibri" w:hAnsi="Calibri"/>
          <w:b/>
          <w:color w:val="4A6B25"/>
          <w:sz w:val="15"/>
        </w:rPr>
        <w:t xml:space="preserve">5. </w:t>
      </w:r>
      <w:r>
        <w:rPr>
          <w:rFonts w:ascii="Calibri" w:hAnsi="Calibri"/>
          <w:b w:val="0"/>
          <w:color w:val="3A4A28"/>
          <w:sz w:val="17"/>
        </w:rPr>
        <w:t>McKnights — Humana Must Face Class Action Suit Over Use of AI in Denying Post-Acute Care, 2025; PRNewswire — Humana Settles $90M False Claims Act Case, 2024</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HUM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