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ICHR</w:t>
      </w:r>
      <w:r>
        <w:rPr>
          <w:rFonts w:ascii="Calibri" w:hAnsi="Calibri"/>
          <w:b/>
          <w:color w:val="1A2010"/>
          <w:sz w:val="40"/>
        </w:rPr>
        <w:t xml:space="preserve">  Ichor Holdings, Ltd.</w:t>
      </w:r>
    </w:p>
    <w:p>
      <w:pPr>
        <w:spacing w:after="120"/>
      </w:pPr>
      <w:r>
        <w:rPr>
          <w:rFonts w:ascii="Calibri" w:hAnsi="Calibri"/>
          <w:b/>
          <w:color w:val="6E8450"/>
          <w:sz w:val="18"/>
        </w:rPr>
        <w:t>GROWTH SLEEVE · 2026-08-09 · Inspire: 30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Ichor Holdings, Ltd. designs, engineers, and manufactures critical fluid delivery subsystems and precision components for semiconductor capital equipment, aerospace, and defense customers. The company's gas and chemical delivery systems are essential to semiconductor fabrication, with Lam Research and Applied Materials representing 76% of 2025 revenue. Founded in 1999, headquartered in Fremont, California, with manufacturing operations in the US, UK, Singapore, Korea, and Malaysia.</w:t>
      </w:r>
    </w:p>
    <w:p>
      <w:r>
        <w:rPr>
          <w:rFonts w:ascii="Calibri" w:hAnsi="Calibri"/>
          <w:b/>
          <w:color w:val="6E8450"/>
          <w:sz w:val="18"/>
        </w:rPr>
        <w:t>1,891 Employees · https://www.ichorsystems.com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Ichor's revenue has been highly cyclical — peaking at $1.28B in 2022, crashing 37% to $811M in 2023, then recovering to $947.7M in 2025. The company has expanded into aerospace and defense verticals and invested in a new Malaysia manufacturing facility, but the core business model of fluid delivery subsystems has not fundamentally changed [1][2]. AI Deployment (0/2): No evidence of AI-powered products or quantified AI-driven operational efficiencies. The company is a traditional manufacturing and engineering business [3]. Market Share (1/2): Ichor holds a meaningful position as a critical subsystem supplier to the two largest semiconductor equipment OEMs — Lam Research and Applied Materials represent 76% of 2025 revenue — but this extreme concentration reflects dependency rather than market dominance [2]. Product Pipeline (1/2): New CEO Phil Barros (promoted from CTO in November 2025) is developing the technology roadmap, and the Malaysia facility ramp positions the company for capacity growth, but no specific next-generation products with launch dates have been disclosed [3][4]. R&amp;D Intensity (1/1): The appointment of CTO Phil Barros as CEO signals a technology-first strategic orientation, and Ichor's advanced flow control technology for optimizing material use represents meaningful R&amp;D investment relative to peers in the subsystem manufacturing space [3][5].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Ichor does not articulate a distinctive mission or purpose beyond operational excellence in fluid delivery manufacturing. The company's ESG report references general pillars of 'Corporate Governance, Environmental Sustainability, and Social and Ethical Responsibility' but these are generic framework categories, not a compelling reason for existing [5]. Community Impact (0/2): The company publishes an annual ESG report (fourth edition covering 2024), and notes that Advanced Flow Control technology promotes reuse and extends product lifecycles, but no specific charitable programs, foundation, or quantified community investment were identified [5]. Employee Retention (1/2): CEO Phil Barros has been with Ichor for 20+ years, rising through engineering, product management, sales, and CTO roles before becoming CEO — his career-long tenure suggests an organization that retains and develops talent internally [3]. Insider Buying (0/2): No evidence of meaningful insider buying activity was found in search results. The CEO transition in late 2025 may have created a blackout period, but no proactive insider purchases were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17.81% is exceptionally low versus the 70% target (score 1.0). ROE of -5.17% is negative, scoring 0.0 at floor (2x weight). Revenue growth YoY of 11.6% ($947.7M in 2025 vs $849.0M in 2024) slightly exceeds the 10% target (score 1.0). 5-year revenue CAGR of approximately 0.7% ($917M in 2020 to $947.7M in 2025) is far below the 10% target (score 0.38, 2x weight). Forward P/E of 26.56 is above the 20 target (score 0.84). Profit margin of -3.97% is negative, scoring 0.0 at floor. Forward PEG of 0.38 is excellent versus the 1.0 target (score 1.0, 2x weight). Weighted sum 5.59/10 = 6. The company holds $256.5M cash against $154.1M debt, but free cash flow remains negative at -$25.6M TTM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Ichor operates as a financially-driven subsystem manufacturer with no articulated Just Cause, minimal cultural differentiation, and a business model defined by customer dependency rather than purposeful self-determination. The company's value proposition is execution efficiency and cost competitiveness, not mission-driven innovation. The recent CEO transition to a long-tenured internal candidate and the Malaysia facility investment show some long-term thinking, but the organizational identity is fundamentally finite.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Ichor does not articulate a Just Cause. The company exists to manufacture fluid delivery subsystems profitably for semiconductor equipment OEMs. There is no vision of a better future, no articulated purpose beyond serving customers and generating returns. The ESG report references sustainability principles but these are compliance-driven, not cause-driven [5]. Sinek would classify this as a finite player — the company competes to win orders and grow revenue, not to advance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Phil Barros's 20+ year tenure rising through multiple roles (engineering, product management, sales, CTO, CEO) suggests an organization that develops and retains talent internally, which is a positive trust indicator [3]. The internal succession rather than an outside hire signals organizational stability. However, no employee satisfaction data, Glassdoor reviews, or specific cultural practices were found to validate broader team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Ichor's competitive dynamics are defined by its dependency relationship with two dominant customers (Lam Research and Applied Materials), and the company's positioning focuses on cost competitiveness and manufacturing capability rather than learning from rivals or self-improvement through competitive pressure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Ichor has expanded from pure semiconductor subsystems into aerospace and defense verticals, and invested in a new Malaysia manufacturing facility to diversify its geographic footprint and cost structure [2][4]. These are incremental adaptations rather than transformative pivots — the company remains fundamentally a fluid delivery subsystem manufacturer. The moves show operational flexibility but not existential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Ichor invested in the Malaysia facility expansion despite near-term margin headwinds — gross margins are being pressured by ramp-up costs and the facility remains a drag until fully absorbed, with operating cash flow expected to remain negative near-term [1]. This represents a willingness to accept short-term pain for long-term capacity and cost positioning. However, this is a standard manufacturing capacity decision rather than a courageous strategic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Ichor Holdings is entering a strong cyclical recovery with Q2 2026 revenue of $294.8M (+15% sequential), management guiding for Q3 revenue of $315-345M and at least 30% full-year growth, driven by AI-related semiconductor equipment demand [1]. The company returned to quarterly profitability in Q2 for the first time in three years, and the path to 20% gross margins provides significant earnings leverage. At a Forward PEG of 0.38, the stock prices in minimal recovery — analyst consensus targets $95.86 (40% upside), and with 3-year EPS growth forecast of 152%, the valuation appears compelling for a cyclical recovery play in the AI semiconductor supply chain [1][2].</w:t>
      </w:r>
    </w:p>
    <w:p>
      <w:pPr>
        <w:spacing w:after="120"/>
      </w:pPr>
      <w:r>
        <w:rPr>
          <w:rFonts w:ascii="Calibri" w:hAnsi="Calibri"/>
          <w:b w:val="0"/>
          <w:color w:val="3A4A28"/>
          <w:sz w:val="20"/>
        </w:rPr>
        <w:t>The primary risk is extreme customer concentration: Lam Research and Applied Materials represent 76% of revenue, creating binary dependency on two OEMs' capital spending decisions [2]. The company is currently unprofitable (profit margin -3.97%, ROE -5.17%) with negative free cash flow of -$25.6M TTM, and the Malaysia facility ramp continues to pressure margins with operating cash flow not expected to improve until H1 2027 [1]. The semiconductor equipment cycle is notoriously volatile — Ichor's revenue crashed 37% from $1.28B in 2022 to $811M in 2023, and another cyclical downturn could erase recovery gains. The 5-year revenue CAGR of just 0.7% reflects this boom-bust pattern and raises questions about whether the company generates sustainable value through full cycles.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semiconductor equipment demand accelerating with Q3 2026 guidance of $315-345M revenue and second-half volumes at least 25% above first half, positioning for $1.2B+ annual run rate</w:t>
      </w:r>
    </w:p>
    <w:p>
      <w:pPr>
        <w:spacing w:before="40" w:after="40"/>
        <w:ind w:left="283"/>
      </w:pPr>
      <w:r>
        <w:rPr>
          <w:rFonts w:ascii="Calibri" w:hAnsi="Calibri"/>
          <w:b/>
          <w:color w:val="4A6B25"/>
          <w:sz w:val="20"/>
        </w:rPr>
        <w:t xml:space="preserve">2. </w:t>
      </w:r>
      <w:r>
        <w:rPr>
          <w:rFonts w:ascii="Calibri" w:hAnsi="Calibri"/>
          <w:b w:val="0"/>
          <w:color w:val="3A4A28"/>
          <w:sz w:val="20"/>
        </w:rPr>
        <w:t>Gross margin expansion roadmap targeting 20% from current 14.1%, with management guiding 100bps improvement per quarter as Malaysia facility ramp costs absorb and operating leverage builds</w:t>
      </w:r>
    </w:p>
    <w:p>
      <w:pPr>
        <w:spacing w:before="40" w:after="40"/>
        <w:ind w:left="283"/>
      </w:pPr>
      <w:r>
        <w:rPr>
          <w:rFonts w:ascii="Calibri" w:hAnsi="Calibri"/>
          <w:b/>
          <w:color w:val="4A6B25"/>
          <w:sz w:val="20"/>
        </w:rPr>
        <w:t xml:space="preserve">3. </w:t>
      </w:r>
      <w:r>
        <w:rPr>
          <w:rFonts w:ascii="Calibri" w:hAnsi="Calibri"/>
          <w:b w:val="0"/>
          <w:color w:val="3A4A28"/>
          <w:sz w:val="20"/>
        </w:rPr>
        <w:t>Forward PEG of 0.38 with 152% 3-year EPS growth forecast and $95.86 analyst price target (40% upside) suggests the stock is significantly underpriced for the cyclical recovery underway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customer concentration with Lam Research and Applied Materials representing 76% of revenue creates binary dependency — any shift in either OEM's sourcing strategy could devastate revenue</w:t>
      </w:r>
    </w:p>
    <w:p>
      <w:pPr>
        <w:spacing w:before="40" w:after="40"/>
        <w:ind w:left="283"/>
      </w:pPr>
      <w:r>
        <w:rPr>
          <w:rFonts w:ascii="Calibri" w:hAnsi="Calibri"/>
          <w:b/>
          <w:color w:val="4A6B25"/>
          <w:sz w:val="20"/>
        </w:rPr>
        <w:t xml:space="preserve">2. </w:t>
      </w:r>
      <w:r>
        <w:rPr>
          <w:rFonts w:ascii="Calibri" w:hAnsi="Calibri"/>
          <w:b w:val="0"/>
          <w:color w:val="3A4A28"/>
          <w:sz w:val="20"/>
        </w:rPr>
        <w:t>Currently unprofitable with -3.97% profit margin, -5.17% ROE, and negative free cash flow of -$25.6M TTM, with Malaysia facility ramp not expected to yield positive operating cash flow until H1 2027</w:t>
      </w:r>
    </w:p>
    <w:p>
      <w:pPr>
        <w:spacing w:before="40" w:after="40"/>
        <w:ind w:left="283"/>
      </w:pPr>
      <w:r>
        <w:rPr>
          <w:rFonts w:ascii="Calibri" w:hAnsi="Calibri"/>
          <w:b/>
          <w:color w:val="4A6B25"/>
          <w:sz w:val="20"/>
        </w:rPr>
        <w:t xml:space="preserve">3. </w:t>
      </w:r>
      <w:r>
        <w:rPr>
          <w:rFonts w:ascii="Calibri" w:hAnsi="Calibri"/>
          <w:b w:val="0"/>
          <w:color w:val="3A4A28"/>
          <w:sz w:val="20"/>
        </w:rPr>
        <w:t>Semiconductor equipment cycle volatility remains existential — revenue crashed 37% in the 2022-2023 downturn, and the company's 5-year CAGR of 0.7% reflects minimal value creation through full cycles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Ichor's core business — designing and manufacturing physical gas and chemical delivery subsystems for semiconductor fabrication equipment — is structurally immune to AI substitution. AI cannot replace precision-engineered fluid delivery hardware. More importantly, AI is a direct demand driver: the buildout of AI data centers and training infrastructure requires more advanced semiconductors, which drives more semiconductor equipment orders, which drives more demand for Ichor's subsystems [1]. Management guided for 30%+ revenue growth in 2026 and second-half volumes at least 25% above first half, driven significantly by AI-related semiconductor capacity expansion. However, the extreme customer concentration (Lam Research and Applied Materials = 76% of revenue) means Ichor's fortunes depend on two intermediaries' decisions rather than direct AI demand exposure [2]. AI Opportunity (1/1): Ichor directly benefits from AI-driven semiconductor capital expenditure. The company's Q2 2026 revenue of $294.8M (+15% sequential) and guided acceleration reflect the AI semiconductor boom flowing through to equipment subsystem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Ichor Holdings Q2 2026 Earnings Release and Q3 Guidance — BusinessWire, August 3, 2026; Seeking Alpha</w:t>
      </w:r>
    </w:p>
    <w:p>
      <w:pPr>
        <w:spacing w:before="20" w:after="20"/>
        <w:ind w:left="170"/>
      </w:pPr>
      <w:r>
        <w:rPr>
          <w:rFonts w:ascii="Calibri" w:hAnsi="Calibri"/>
          <w:b/>
          <w:color w:val="4A6B25"/>
          <w:sz w:val="15"/>
        </w:rPr>
        <w:t xml:space="preserve">2. </w:t>
      </w:r>
      <w:r>
        <w:rPr>
          <w:rFonts w:ascii="Calibri" w:hAnsi="Calibri"/>
          <w:b w:val="0"/>
          <w:color w:val="3A4A28"/>
          <w:sz w:val="17"/>
        </w:rPr>
        <w:t>Ichor Holdings 2025 Annual Report (10-K) and Revenue History — StockTitan, WallStreetZen, 2025-2026</w:t>
      </w:r>
    </w:p>
    <w:p>
      <w:pPr>
        <w:spacing w:before="20" w:after="20"/>
        <w:ind w:left="170"/>
      </w:pPr>
      <w:r>
        <w:rPr>
          <w:rFonts w:ascii="Calibri" w:hAnsi="Calibri"/>
          <w:b/>
          <w:color w:val="4A6B25"/>
          <w:sz w:val="15"/>
        </w:rPr>
        <w:t xml:space="preserve">3. </w:t>
      </w:r>
      <w:r>
        <w:rPr>
          <w:rFonts w:ascii="Calibri" w:hAnsi="Calibri"/>
          <w:b w:val="0"/>
          <w:color w:val="3A4A28"/>
          <w:sz w:val="17"/>
        </w:rPr>
        <w:t>Ichor Names Phil Barros Chief Executive Officer — BusinessWire, November 3, 2025</w:t>
      </w:r>
    </w:p>
    <w:p>
      <w:pPr>
        <w:spacing w:before="20" w:after="20"/>
        <w:ind w:left="170"/>
      </w:pPr>
      <w:r>
        <w:rPr>
          <w:rFonts w:ascii="Calibri" w:hAnsi="Calibri"/>
          <w:b/>
          <w:color w:val="4A6B25"/>
          <w:sz w:val="15"/>
        </w:rPr>
        <w:t xml:space="preserve">4. </w:t>
      </w:r>
      <w:r>
        <w:rPr>
          <w:rFonts w:ascii="Calibri" w:hAnsi="Calibri"/>
          <w:b w:val="0"/>
          <w:color w:val="3A4A28"/>
          <w:sz w:val="17"/>
        </w:rPr>
        <w:t>Ichor Holdings Q1 2026 Earnings Release — BusinessWire, May 4, 2026</w:t>
      </w:r>
    </w:p>
    <w:p>
      <w:pPr>
        <w:spacing w:before="20" w:after="20"/>
        <w:ind w:left="170"/>
      </w:pPr>
      <w:r>
        <w:rPr>
          <w:rFonts w:ascii="Calibri" w:hAnsi="Calibri"/>
          <w:b/>
          <w:color w:val="4A6B25"/>
          <w:sz w:val="15"/>
        </w:rPr>
        <w:t xml:space="preserve">5. </w:t>
      </w:r>
      <w:r>
        <w:rPr>
          <w:rFonts w:ascii="Calibri" w:hAnsi="Calibri"/>
          <w:b w:val="0"/>
          <w:color w:val="3A4A28"/>
          <w:sz w:val="17"/>
        </w:rPr>
        <w:t>Ichor Holdings ESG Report — ichorsystems.com, 2025</w:t>
      </w:r>
    </w:p>
    <w:p>
      <w:pPr>
        <w:spacing w:before="20" w:after="20"/>
        <w:ind w:left="170"/>
      </w:pPr>
      <w:r>
        <w:rPr>
          <w:rFonts w:ascii="Calibri" w:hAnsi="Calibri"/>
          <w:b/>
          <w:color w:val="4A6B25"/>
          <w:sz w:val="15"/>
        </w:rPr>
        <w:t xml:space="preserve">6. </w:t>
      </w:r>
      <w:r>
        <w:rPr>
          <w:rFonts w:ascii="Calibri" w:hAnsi="Calibri"/>
          <w:b w:val="0"/>
          <w:color w:val="3A4A28"/>
          <w:sz w:val="17"/>
        </w:rPr>
        <w:t>StockAnalysis / Yahoo Finance — ICHR Key Statistics, Forward PE, PEG Ratio,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