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IHS</w:t>
      </w:r>
      <w:r>
        <w:rPr>
          <w:rFonts w:ascii="Calibri" w:hAnsi="Calibri"/>
          <w:b/>
          <w:color w:val="1A2010"/>
          <w:sz w:val="40"/>
        </w:rPr>
        <w:t xml:space="preserve">  IHS Holding Limited</w:t>
      </w:r>
    </w:p>
    <w:p>
      <w:pPr>
        <w:spacing w:after="120"/>
      </w:pPr>
      <w:r>
        <w:rPr>
          <w:rFonts w:ascii="Calibri" w:hAnsi="Calibri"/>
          <w:b/>
          <w:color w:val="6E8450"/>
          <w:sz w:val="18"/>
        </w:rPr>
        <w:t>GROWTH SLEEVE · 2026-07-20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Infrastructure · NYSE · Cayman Islands</w:t>
      </w:r>
    </w:p>
    <w:p>
      <w:pPr>
        <w:spacing w:after="80"/>
      </w:pPr>
      <w:r>
        <w:rPr>
          <w:rFonts w:ascii="Calibri" w:hAnsi="Calibri"/>
          <w:b w:val="0"/>
          <w:color w:val="3A4A28"/>
          <w:sz w:val="20"/>
        </w:rPr>
        <w:t>IHS Holding Limited is one of the largest independent owners, operators, and developers of shared telecommunications infrastructure in the world, operating approximately 37,000 towers across Africa. The company provides colocation, build-to-suit, and managed services to mobile network operators including MTN, Airtel, and 9mobile. IHS has agreed to be acquired by MTN Group for $8.50/share in an all-cash transaction valuing the company at approximately $6.2B enterprise value, expected to close in 2026. Founded in 2001 by Sam Darwish, headquartered in London.</w:t>
      </w:r>
    </w:p>
    <w:p>
      <w:r>
        <w:rPr>
          <w:rFonts w:ascii="Calibri" w:hAnsi="Calibri"/>
          <w:b/>
          <w:color w:val="6E8450"/>
          <w:sz w:val="18"/>
        </w:rPr>
        <w:t>3,500 Employees · https://www.ihstowers.com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IHS has expanded its tower portfolio and diversified into fiber connectivity, but the core business — owning and leasing tower space to mobile operators — has remained fundamentally unchanged since inception [1]. The company has divested non-core markets (Kuwait, Peru, Rwanda) rather than expanding, and the decision to sell to MTN at $8.50/share (a 60% discount to the $21 IPO price) reflects an inability to create value as a public company [4]. AI Deployment (0/2): No AI products, AI-driven operational improvements, or quantified AI efficiency gains have been reported. IHS operates physical tower infrastructure with limited software/technology differentiation. Market Share (1/2): IHS is the 5th largest independent tower company globally and a leading operator in several African markets, serving approximately 600 million people across the continent [3]. However, market position alone has not translated into shareholder value creation since the 2021 IPO. Product Pipeline (1/2): Fiber expansion and colocation growth provide incremental revenue opportunities, with colocation and lease amendment revenue contributing to Q1 2026 growth [1]. R&amp;D Intensity (0/1): As a physical infrastructure company, IHS does not report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IHS's stated purpose centers on connecting people and communities across Africa through telecommunications infrastructure, but this is more of a business description than a distinctive mission statement. The company's values (customer focus, innovation, integrity, boldness, sustainability) are generic corporate language [3]. Community Impact (2/2): IHS has invested $45 million in communities since 2017, trained over 100,000 students in STEM programs, and partnered with WaterAid to construct rainwater harvesting systems at schools in Rwanda [5]. The $209.4M investment in Project Green since 2022 demonstrates significant environmental commitment. These are specific, quantified programs with measurable impact. Employee Retention (1/2): Founder-led since 2001 with Sam Darwish, William Saad, and Mohamad Darwish maintaining leadership continuity for 25 years. The Women in IHS Network (WIIN) mentoring program with 170+ pairs and 55+ nationalities represented suggest an inclusive culture [3]. Insider Buying (0/2): No evidence of meaningful net insider buying by executives in the past 12 months; instead, founding shareholders are supporting the $8.50/share MTN buyout.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$415.4M in revenue (up 6.0% YoY) with adjusted EBITDA of $268.7M (6.4% growth) and net income of $77M [1]. Adjusted levered free cash flow of $173.5M increased 15.8% YoY, and the net leverage ratio improved to 2.9x [1]. Forward P/E of 4.85 is exceptionally low, reflecting the MTN buyout at $8.50/share capping upside rather than fundamental cheapness. IHS has negative stockholders' equity, rendering D/E and ROE metrics mathematically meaningless — similar to Hilton, this results from capital structure decisions rather than operational weakness. Profit margin of approximately 18.5% (Q1 2026) is solid for a tower company. Revenue growth has been modest (6% YoY) with organic revenue declining 1.7% due to FX resets and power indexation headwinds, offset by favorable Nigerian Naira currency movements [1]. Five-year revenue CAGR of approximately 4% reflects the challenges of operating in African emerging markets with currency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IHS Towers is ending its public company journey through a sale to MTN Group at $8.50/share — a 60% discount to the 2021 IPO price of $21. While the company was founder-led for 25 years (a sign of commitment), the decision to sell at such a steep discount to IPO price suggests the founders are taking a pragmatic exit rather than playing an infinite game. The divestitures of Kuwait, Peru, and Rwanda represent strategic retreats, and the MTN acquisition effectively ends IHS as an independent company. Sinek would view the sale as a finite conclusion — maximizing remaining value for shareholders rather than pursuing a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Connecting Africa through telecommunications infrastructure is a meaningful mission, but IHS has not articulated it as a Just Cause that transcends the company itself [3]. The sale to MTN at a steep discount to IPO price suggests the founding purpose was more about building a business than advancing an enduring cause. A company with a true Just Cause would be more likely to seek ways to continue its independent mission rather than sell to a larger 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founding team of Sam Darwish, William Saad, and Mohamad Darwish has maintained leadership continuity for 25 years, and the company's diversity (55+ nationalities, WIIN mentoring program) suggests some organizational trust [3]. However, the impending MTN acquisition creates significant uncertainty for the 3,500 employees, and integration with a much larger organization typically disrupts existing team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IHS leadership discussing competitors in Sinek's 'worthy rival' framework. The competitive landscape of tower companies in Africa is more about geographic positioning and government relationships than product-level competition, and the sale to MTN (IHS's largest customer) represents surrender rather than learning from a rival.</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IHS has demonstrated rigidity rather than flexibility — the company is being acquired rather than reinventing itself. The divestitures of Kuwait, Peru, and Rwanda markets represent contraction, not transformation. The original business model (own towers, lease space to mobile operators) is identical to the model at founding, and when the public markets failed to value it, the company chose to sell rather than pivot.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decision to accept an $8.50/share buyout — 60% below the 2021 IPO price of $21 — after a strategic review does not demonstrate courageous leadership. While pragmatically rational (the stock had fallen to ~$2.50 before the review), it reflects a failure to create independent shareholder value. No examples of costly long-term bets or principled decisions that sacrificed near-term earnings were identified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IHS Towers has agreed to be acquired by MTN Group for $8.50/share in an all-cash transaction valued at approximately $6.2B enterprise value, expected to close in 2026 with shareholder and regulatory approvals pending [4]. The stock trades at $8.22, representing a 3.4% spread to the deal price and making this primarily a merger arbitrage situation. The underlying business is solid: Q1 2026 revenue of $415.4M (up 6%), adjusted EBITDA of $268.7M (up 6.4%), and ALFCF of $173.5M (up 15.8%), with net leverage improving to 2.9x [1]. With approximately 37,000 towers serving 600 million people across Africa and $45M in community investments since 2017, IHS provides essential digital infrastructure in one of the world's fastest-growing connectivity markets [5].</w:t>
      </w:r>
    </w:p>
    <w:p>
      <w:pPr>
        <w:spacing w:after="120"/>
      </w:pPr>
      <w:r>
        <w:rPr>
          <w:rFonts w:ascii="Calibri" w:hAnsi="Calibri"/>
          <w:b w:val="0"/>
          <w:color w:val="3A4A28"/>
          <w:sz w:val="20"/>
        </w:rPr>
        <w:t>The bear case centers entirely on deal risk and the path to close. At $8.22 vs. the $8.50 deal price, the remaining upside is capped at 3.4%, while deal failure could send the stock back toward pre-announcement levels near $2.50 — a 70% downside [4]. The transaction requires shareholder approval (MTN and Wendel control 40%+ of votes, providing a floor) and regulatory approval across multiple African jurisdictions, each carrying execution risk. On a standalone basis, IHS faces structural headwinds: negative stockholders' equity, currency volatility in Nigerian Naira-denominated revenue, organic revenue decline of 1.7% in Q1 2026, and customer concentration risk with MTN as the largest tenant becoming the owner. The 60% discount to the $21 IPO price reflects five years of value destruction for public shareholders despite operationally sound tower economics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MTN buyout closing at $8.50/share expected in 2026, providing 3.4% upside from current price with 40%+ shareholder voting support already secured</w:t>
      </w:r>
    </w:p>
    <w:p>
      <w:pPr>
        <w:spacing w:before="40" w:after="40"/>
        <w:ind w:left="283"/>
      </w:pPr>
      <w:r>
        <w:rPr>
          <w:rFonts w:ascii="Calibri" w:hAnsi="Calibri"/>
          <w:b/>
          <w:color w:val="4A6B25"/>
          <w:sz w:val="20"/>
        </w:rPr>
        <w:t xml:space="preserve">2. </w:t>
      </w:r>
      <w:r>
        <w:rPr>
          <w:rFonts w:ascii="Calibri" w:hAnsi="Calibri"/>
          <w:b w:val="0"/>
          <w:color w:val="3A4A28"/>
          <w:sz w:val="20"/>
        </w:rPr>
        <w:t>Adjusted levered free cash flow growth of 15.8% YoY to $173.5M and net leverage reduction to 2.9x demonstrate improving underlying economics regardless of deal outcome</w:t>
      </w:r>
    </w:p>
    <w:p>
      <w:pPr>
        <w:spacing w:before="40" w:after="40"/>
        <w:ind w:left="283"/>
      </w:pPr>
      <w:r>
        <w:rPr>
          <w:rFonts w:ascii="Calibri" w:hAnsi="Calibri"/>
          <w:b/>
          <w:color w:val="4A6B25"/>
          <w:sz w:val="20"/>
        </w:rPr>
        <w:t xml:space="preserve">3. </w:t>
      </w:r>
      <w:r>
        <w:rPr>
          <w:rFonts w:ascii="Calibri" w:hAnsi="Calibri"/>
          <w:b w:val="0"/>
          <w:color w:val="3A4A28"/>
          <w:sz w:val="20"/>
        </w:rPr>
        <w:t>African mobile data consumption growth driven by smartphone penetration and AI-powered services increasing demand for tower infrastructure across IHS's 37,000-tower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 failure would remove the $8.50 floor and could return the stock toward $2.50 pre-strategic-review levels — a 70% downside from current price</w:t>
      </w:r>
    </w:p>
    <w:p>
      <w:pPr>
        <w:spacing w:before="40" w:after="40"/>
        <w:ind w:left="283"/>
      </w:pPr>
      <w:r>
        <w:rPr>
          <w:rFonts w:ascii="Calibri" w:hAnsi="Calibri"/>
          <w:b/>
          <w:color w:val="4A6B25"/>
          <w:sz w:val="20"/>
        </w:rPr>
        <w:t xml:space="preserve">2. </w:t>
      </w:r>
      <w:r>
        <w:rPr>
          <w:rFonts w:ascii="Calibri" w:hAnsi="Calibri"/>
          <w:b w:val="0"/>
          <w:color w:val="3A4A28"/>
          <w:sz w:val="20"/>
        </w:rPr>
        <w:t>Nigerian Naira currency volatility creates revenue unpredictability: Q1 2026 benefited from 11.4% Naira appreciation but organic revenue declined 1.7% excluding FX and dispositions</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with MTN (also the acquirer) as the largest tenant creates dependency risk if the deal fails and MTN reduces its IHS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Telecommunications towers are physical infrastructure that AI structurally cannot substitute — cell signals require physical antennas mounted on physical towers, and no software innovation can replace this fundamental requirement [3]. IHS's 37,000 towers across Africa represent essential infrastructure for mobile connectivity across a continent with rapidly growing smartphone penetration and data consumption. AI actually increases demand for tower infrastructure: AI-driven services require more data, more data requires more cell sites, and more cell sites require more towers. The proliferation of AI applications, edge computing, and agentic AI systems will dramatically increase data traffic across African mobile networks, directly benefiting tower operators. IHS is the infrastructure that AI depends on, not a business that AI threatens. AI Opportunity (0/1): IHS has no AI-related revenue streams or AI-powered products. The company provides passive physical infrastructure (towers and fiber) rather than technology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IHS Holding Q1 2026 Earnings Release, BusinessWire / SEC Form 6-K, May 2026</w:t>
      </w:r>
    </w:p>
    <w:p>
      <w:pPr>
        <w:spacing w:before="20" w:after="20"/>
        <w:ind w:left="170"/>
      </w:pPr>
      <w:r>
        <w:rPr>
          <w:rFonts w:ascii="Calibri" w:hAnsi="Calibri"/>
          <w:b/>
          <w:color w:val="4A6B25"/>
          <w:sz w:val="15"/>
        </w:rPr>
        <w:t xml:space="preserve">2. </w:t>
      </w:r>
      <w:r>
        <w:rPr>
          <w:rFonts w:ascii="Calibri" w:hAnsi="Calibri"/>
          <w:b w:val="0"/>
          <w:color w:val="3A4A28"/>
          <w:sz w:val="17"/>
        </w:rPr>
        <w:t>Grafa — IHS Towers Q1 2026 Financial Results, May 2026</w:t>
      </w:r>
    </w:p>
    <w:p>
      <w:pPr>
        <w:spacing w:before="20" w:after="20"/>
        <w:ind w:left="170"/>
      </w:pPr>
      <w:r>
        <w:rPr>
          <w:rFonts w:ascii="Calibri" w:hAnsi="Calibri"/>
          <w:b/>
          <w:color w:val="4A6B25"/>
          <w:sz w:val="15"/>
        </w:rPr>
        <w:t xml:space="preserve">3. </w:t>
      </w:r>
      <w:r>
        <w:rPr>
          <w:rFonts w:ascii="Calibri" w:hAnsi="Calibri"/>
          <w:b w:val="0"/>
          <w:color w:val="3A4A28"/>
          <w:sz w:val="17"/>
        </w:rPr>
        <w:t>LEADERS Magazine — Interview with Sam Darwish, Chairman and CEO, IHS Towers, 2024; IHS Towers Leadership Page</w:t>
      </w:r>
    </w:p>
    <w:p>
      <w:pPr>
        <w:spacing w:before="20" w:after="20"/>
        <w:ind w:left="170"/>
      </w:pPr>
      <w:r>
        <w:rPr>
          <w:rFonts w:ascii="Calibri" w:hAnsi="Calibri"/>
          <w:b/>
          <w:color w:val="4A6B25"/>
          <w:sz w:val="15"/>
        </w:rPr>
        <w:t xml:space="preserve">4. </w:t>
      </w:r>
      <w:r>
        <w:rPr>
          <w:rFonts w:ascii="Calibri" w:hAnsi="Calibri"/>
          <w:b w:val="0"/>
          <w:color w:val="3A4A28"/>
          <w:sz w:val="17"/>
        </w:rPr>
        <w:t>Benzinga / StockTitan / TechCabal — IHS Towers To Go Private In $6.2B MTN Buyout, February-May 2026</w:t>
      </w:r>
    </w:p>
    <w:p>
      <w:pPr>
        <w:spacing w:before="20" w:after="20"/>
        <w:ind w:left="170"/>
      </w:pPr>
      <w:r>
        <w:rPr>
          <w:rFonts w:ascii="Calibri" w:hAnsi="Calibri"/>
          <w:b/>
          <w:color w:val="4A6B25"/>
          <w:sz w:val="15"/>
        </w:rPr>
        <w:t xml:space="preserve">5. </w:t>
      </w:r>
      <w:r>
        <w:rPr>
          <w:rFonts w:ascii="Calibri" w:hAnsi="Calibri"/>
          <w:b w:val="0"/>
          <w:color w:val="3A4A28"/>
          <w:sz w:val="17"/>
        </w:rPr>
        <w:t>BusinessWire / TechAfrica News — IHS Towers 2024 and 2025 Sustainability Reports; $45M Community Investment Since 2017</w:t>
      </w:r>
    </w:p>
    <w:p>
      <w:pPr>
        <w:spacing w:before="20" w:after="20"/>
        <w:ind w:left="170"/>
      </w:pPr>
      <w:r>
        <w:rPr>
          <w:rFonts w:ascii="Calibri" w:hAnsi="Calibri"/>
          <w:b/>
          <w:color w:val="4A6B25"/>
          <w:sz w:val="15"/>
        </w:rPr>
        <w:t xml:space="preserve">6. </w:t>
      </w:r>
      <w:r>
        <w:rPr>
          <w:rFonts w:ascii="Calibri" w:hAnsi="Calibri"/>
          <w:b w:val="0"/>
          <w:color w:val="3A4A28"/>
          <w:sz w:val="17"/>
        </w:rPr>
        <w:t>StockAnalysis.com / Yahoo Finance — IHS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