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IMRX</w:t>
      </w:r>
      <w:r>
        <w:rPr>
          <w:rFonts w:ascii="Calibri" w:hAnsi="Calibri"/>
          <w:b/>
          <w:color w:val="1A2010"/>
          <w:sz w:val="40"/>
        </w:rPr>
        <w:t xml:space="preserve">  Immuneering Corporation</w:t>
      </w:r>
    </w:p>
    <w:p>
      <w:pPr>
        <w:spacing w:after="120"/>
      </w:pPr>
      <w:r>
        <w:rPr>
          <w:rFonts w:ascii="Calibri" w:hAnsi="Calibri"/>
          <w:b/>
          <w:color w:val="6E8450"/>
          <w:sz w:val="18"/>
        </w:rPr>
        <w:t>GROWTH SLEEVE · 2026-07-21 · Inspire: 30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Immuneering Corporation is a late-stage clinical oncology company developing Deep Cyclic Inhibitors, a novel class of cancer therapies designed to deliver pulsed pathway inhibition faster than tumors can adapt while having less impact on healthy cells. Lead candidate atebimetinib is an oral, once-daily MEK inhibitor advancing to a pivotal Phase 3 trial in first-line metastatic pancreatic cancer, with additional combination studies planned in lung cancer. Founded in 2008, headquartered in Cambridge, Massachusetts.</w:t>
      </w:r>
    </w:p>
    <w:p>
      <w:r>
        <w:rPr>
          <w:rFonts w:ascii="Calibri" w:hAnsi="Calibri"/>
          <w:b/>
          <w:color w:val="6E8450"/>
          <w:sz w:val="18"/>
        </w:rPr>
        <w:t>80 Employees · https://immuneering.com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Immuneering invented Deep Cyclic Inhibitors, an entirely new class of cancer therapy that represents a genuine pharmacological innovation [2]. The Phase 2a data in first-line pancreatic cancer showing 17.3 months median overall survival and 64% 12-month survival with minimal added toxicity over standard chemotherapy is a meaningful clinical achievement in one of oncology's most challenging indications [2]. However, the company has not yet achieved a commercial launch or regulatory approval. AI Deployment (0/2): No evidence of AI deployment in drug development or clinical operations, despite the company's computational biology origins. Market Share (0/2): Pre-commercial company with no marketed products and no market share in any therapeutic category. Product Pipeline (1/2): Atebimetinib is advancing to a pivotal Phase 3 trial in first-line pancreatic cancer with regulatory feedback on trial design expected, and additional combination studies are planned in lung cancer [2]. However, timelines for Phase 3 initiation and data readout have not been precisely specified. R&amp;D Intensity (1/1): As a clinical-stage oncology company, essentially all capital is directed toward R&amp;D and clinical development, well above any industry benchmark.</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Immuneering's mission of 'keeping cancer patients alive and helping them thrive' is specific, thoughtful, and connects the company's scientific work to a clear human purpose [2]. The focus on developing therapies that maintain efficacy while reducing toxicity reflects genuine intentionality about patient quality of life, not just tumor shrinkage metrics. This mission differentiates from peers who focus on generic 'innovative cancer therapies' language. Community Impact (0/2): No evidence of specific charitable programs, foundation, or community investment beyond the clinical development mission itself. Employee Retention (1/2): Co-founder and CEO Ben Zeskind has led the company since its founding in 2008, an 18-year tenure that demonstrates exceptional personal commitment to the mission [2]. Chief Scientific Officer Brett Hall and the leadership team appear stable. However, no specific employee retention metrics or turnover data are publicly available. Insider Buying (1/2): CEO Ben Zeskind purchased 2,400 shares ($10,944) in June 2026, and Chief People Officer Leah Neufeld purchased 2,626 shares ($10,905) in January 2026 [4]. Multiple executives buying shares with personal funds signals genuine conviction, though the dollar amounts are modest.</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As a pre-revenue clinical-stage oncology company, Immuneering has no revenue, negative earnings (Q1 2026 EPS of -$0.21, FY2026 estimated loss of $56M-$80M), and negative profit margin [1]. The company's financial strength lies in its cash position: $217M in cash and marketable securities as of December 31, 2025, providing runway through 2029, which is exceptional for a clinical-stage biotech [1]. However, the mechanical infrastructure scoring requires positive financial metrics that a pre-revenue company cannot produce: ROE is negative (0.0), profit margin is negative (0.0), and all revenue growth, P/E, and PEG metrics are unavailable. Weighted sum 0.0 / available weight = 0. Liquidity check passes: average daily volume of approximately 950K shares at $5.00 = $4.75M daily turnover exceeds the $1M floor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Immuneering under Ben Zeskind demonstrates several hallmarks of infinite game thinking: an 18-year commitment by the founder-CEO, a clearly articulated patient-centered mission, and the development of a genuinely novel therapeutic approach (Deep Cyclic Inhibitors) rather than pursuing me-too drugs. The company's focus on improving both efficacy and tolerability, keeping patients alive AND helping them thrive, reflects a purpose-driven approach to oncology. However, the company is still too early in its journey to have been tested through the crises and market cycles that separate infinite players from well-intentioned startups.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Immuneering's mission of 'keeping cancer patients alive and helping them thrive' is a genuine cause that goes beyond revenue generation. The deliberate focus on patient quality of life (not just survival endpoints) and the invention of an entirely new drug class (Deep Cyclic Inhibitors) rather than pursuing incremental improvements to existing therapies reflects purposeful innovation driven by patient need [2]. CEO Zeskind's 18-year tenure since co-founding demonstrates personal commitment. However, the cause has not yet been tested through the multi-decade market cycles, leadership transitions, and crises that would validate it as a true Just Cause by Sinek's standards.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Ben Zeskind's 18-year tenure as co-founder and leader provides organizational stability, and the recent appointment of experienced CFO Andrew Gengos (former Terns Pharmaceuticals CFO, recruited from a company acquired by Merck for $6.7B) suggests the ability to attract quality talent [3]. Multiple executives (CEO and CPO) buying shares with personal funds signals internal conviction. However, as a small clinical-stage company (~80 employees), the sample size for assessing organizational culture is limited, and no specific retention data is publicly available.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specific evidence of Immuneering's leadership acknowledging competitors' strengths or using competitive dynamics as motivation. The pancreatic cancer and MEK inhibitor landscape includes established competitors (selumetinib, binimetinib), but Immuneering's public communications focus on the novelty of its Deep Cyclic Inhibitor approach rather than positioning relative to rivals.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Immuneering developed the Deep Cyclic Inhibitor concept as a novel approach to MEK inhibition, creating an entirely new pharmacological class rather than incrementally improving existing drugs [2]. The company has also expanded from its initial computational biology platform to become a clinical-stage oncology company executing global clinical trials, a meaningful evolution of the business model. However, these represent the natural maturation of a biotech rather than a transformative pivot in response to external disruption.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Pursuing a Phase 3 trial in first-line metastatic pancreatic cancer, one of the most challenging indications in oncology, requires significant courage and capital commitment. The company chose to invest in pancreatic cancer (where the need is greatest but the failure rate is highest) rather than pursuing safer indications with more established pathways [2]. CEO Zeskind has maintained his commitment through 18 years of pre-revenue operations, demonstrating personal courage in building a long-term vision.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Immuneering offers a compelling late-stage clinical oncology thesis built on a genuinely novel scientific approach. The Deep Cyclic Inhibitor platform, led by atebimetinib, has demonstrated 17.3 months median overall survival in first-line metastatic pancreatic cancer patients in the Phase 2a trial, with 64% 12-month survival and minimal added toxicity over standard chemotherapy [2]. These data, if confirmed in the upcoming Phase 3 trial, would represent a meaningful advance in one of oncology's most intractable indications, where the current median survival is approximately 11-12 months. The company's $217M cash position provides runway through 2029, and the recent CFO appointment of Andrew Gengos (who helped sell Terns Pharmaceuticals to Merck for $6.7B) signals preparation for potential commercial or strategic transactions [1][3]. With 7 analysts rating the stock Strong Buy at an average $17.86 price target versus $5.00 current, the market sees significant upside potential.</w:t>
      </w:r>
    </w:p>
    <w:p>
      <w:pPr>
        <w:spacing w:after="120"/>
      </w:pPr>
      <w:r>
        <w:rPr>
          <w:rFonts w:ascii="Calibri" w:hAnsi="Calibri"/>
          <w:b w:val="0"/>
          <w:color w:val="3A4A28"/>
          <w:sz w:val="20"/>
        </w:rPr>
        <w:t>The primary risk is the binary nature of the investment: Immuneering's entire value depends on Phase 3 success in pancreatic cancer. Phase 2a data, while promising, involved a limited patient population, and the history of oncology drug development is littered with Phase 2 successes that failed to replicate in Phase 3 registrational trials. The company has no revenue, negative earnings (-$0.21 EPS in Q1 2026), and an annual burn rate of $56M-$80M, producing a mechanical Infrastructure score of 0 that accurately reflects the financial risk profile [1]. The $300M+ market cap for a pre-revenue biotech requires extraordinary clinical success to justify, and any delay in Phase 3 initiation or enrollment challenges in pancreatic cancer (a difficult-to-recruit population) would extend the cash burn timeline despite the currently strong runway through 2029. The stock price of $5.00 implies the market assigns modest probability to Phase 3 success relative to the analyst consensus target of $17.86.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Regulatory feedback on pivotal Phase 3 trial design in first-line pancreatic cancer, which would define the pathway to a potential NDA filing and provide clarity on enrollment requirements and timeline</w:t>
      </w:r>
    </w:p>
    <w:p>
      <w:pPr>
        <w:spacing w:before="40" w:after="40"/>
        <w:ind w:left="283"/>
      </w:pPr>
      <w:r>
        <w:rPr>
          <w:rFonts w:ascii="Calibri" w:hAnsi="Calibri"/>
          <w:b/>
          <w:color w:val="4A6B25"/>
          <w:sz w:val="20"/>
        </w:rPr>
        <w:t xml:space="preserve">2. </w:t>
      </w:r>
      <w:r>
        <w:rPr>
          <w:rFonts w:ascii="Calibri" w:hAnsi="Calibri"/>
          <w:b w:val="0"/>
          <w:color w:val="3A4A28"/>
          <w:sz w:val="20"/>
        </w:rPr>
        <w:t>Updated survival data from the Phase 2a first-line pancreatic cancer cohort expected in H1 2026, which could strengthen the case for Phase 3 success if mature data confirm or exceed the 17.3-month median OS</w:t>
      </w:r>
    </w:p>
    <w:p>
      <w:pPr>
        <w:spacing w:before="40" w:after="40"/>
        <w:ind w:left="283"/>
      </w:pPr>
      <w:r>
        <w:rPr>
          <w:rFonts w:ascii="Calibri" w:hAnsi="Calibri"/>
          <w:b/>
          <w:color w:val="4A6B25"/>
          <w:sz w:val="20"/>
        </w:rPr>
        <w:t xml:space="preserve">3. </w:t>
      </w:r>
      <w:r>
        <w:rPr>
          <w:rFonts w:ascii="Calibri" w:hAnsi="Calibri"/>
          <w:b w:val="0"/>
          <w:color w:val="3A4A28"/>
          <w:sz w:val="20"/>
        </w:rPr>
        <w:t>Potential strategic partnership with a larger oncology company for Phase 3 execution and commercialization of atebimetinib, which would validate the Deep Cyclic Inhibitor platform and reduce financial risk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Phase 3 failure in pancreatic cancer would be devastating to the equity given 100% of value depends on clinical success, with no diversified revenue base or alternative late-stage assets to fall back on</w:t>
      </w:r>
    </w:p>
    <w:p>
      <w:pPr>
        <w:spacing w:before="40" w:after="40"/>
        <w:ind w:left="283"/>
      </w:pPr>
      <w:r>
        <w:rPr>
          <w:rFonts w:ascii="Calibri" w:hAnsi="Calibri"/>
          <w:b/>
          <w:color w:val="4A6B25"/>
          <w:sz w:val="20"/>
        </w:rPr>
        <w:t xml:space="preserve">2. </w:t>
      </w:r>
      <w:r>
        <w:rPr>
          <w:rFonts w:ascii="Calibri" w:hAnsi="Calibri"/>
          <w:b w:val="0"/>
          <w:color w:val="3A4A28"/>
          <w:sz w:val="20"/>
        </w:rPr>
        <w:t>Pre-revenue company with $56M-$80M annual burn rate and no near-term path to profitability, requiring continued capital market access despite 64.7M shares outstanding and potential future dilution</w:t>
      </w:r>
    </w:p>
    <w:p>
      <w:pPr>
        <w:spacing w:before="40" w:after="40"/>
        <w:ind w:left="283"/>
      </w:pPr>
      <w:r>
        <w:rPr>
          <w:rFonts w:ascii="Calibri" w:hAnsi="Calibri"/>
          <w:b/>
          <w:color w:val="4A6B25"/>
          <w:sz w:val="20"/>
        </w:rPr>
        <w:t xml:space="preserve">3. </w:t>
      </w:r>
      <w:r>
        <w:rPr>
          <w:rFonts w:ascii="Calibri" w:hAnsi="Calibri"/>
          <w:b w:val="0"/>
          <w:color w:val="3A4A28"/>
          <w:sz w:val="20"/>
        </w:rPr>
        <w:t>Pancreatic cancer is one of the most difficult indications in oncology with a long history of Phase 2 successes that failed to replicate in registrational trials, creating inherent statistical and biological risk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Immuneering's core business of developing novel oncology therapeutics through clinical trials is structurally protected from AI disruption. Drug development requires physical laboratory work, animal studies, human clinical trials with real patients at physical clinical sites, FDA regulatory submissions with extensive human review, and pharmaceutical manufacturing [2]. The Phase 3 trial in pancreatic cancer involves hundreds of patients across multiple global sites, regulatory oversight, and safety monitoring that AI cannot replace. The complexity of oncology drug development, with its combination of biological science, regulatory science, and clinical execution, creates deep barriers to AI substitution. AI Opportunity (0/1): No evidence of AI-related revenue or AI-powered products. While the company's computational biology origins suggest an appreciation for data-driven approaches, no specific AI deployment has been publicly discussed.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Immuneering Q1 2026 Earnings Release and Cash Position Update — Public.com and Yahoo Finance, May 2026</w:t>
      </w:r>
    </w:p>
    <w:p>
      <w:pPr>
        <w:spacing w:before="20" w:after="20"/>
        <w:ind w:left="170"/>
      </w:pPr>
      <w:r>
        <w:rPr>
          <w:rFonts w:ascii="Calibri" w:hAnsi="Calibri"/>
          <w:b/>
          <w:color w:val="4A6B25"/>
          <w:sz w:val="15"/>
        </w:rPr>
        <w:t xml:space="preserve">2. </w:t>
      </w:r>
      <w:r>
        <w:rPr>
          <w:rFonts w:ascii="Calibri" w:hAnsi="Calibri"/>
          <w:b w:val="0"/>
          <w:color w:val="3A4A28"/>
          <w:sz w:val="17"/>
        </w:rPr>
        <w:t>Immuneering Phase 2a Pancreatic Cancer Data (17.3 Months Median OS) and Pipeline Overview — Immuneering Investor Relations, 2026</w:t>
      </w:r>
    </w:p>
    <w:p>
      <w:pPr>
        <w:spacing w:before="20" w:after="20"/>
        <w:ind w:left="170"/>
      </w:pPr>
      <w:r>
        <w:rPr>
          <w:rFonts w:ascii="Calibri" w:hAnsi="Calibri"/>
          <w:b/>
          <w:color w:val="4A6B25"/>
          <w:sz w:val="15"/>
        </w:rPr>
        <w:t xml:space="preserve">3. </w:t>
      </w:r>
      <w:r>
        <w:rPr>
          <w:rFonts w:ascii="Calibri" w:hAnsi="Calibri"/>
          <w:b w:val="0"/>
          <w:color w:val="3A4A28"/>
          <w:sz w:val="17"/>
        </w:rPr>
        <w:t>Immuneering CFO Appointment (Andrew Gengos) and Leadership Updates — TipRanks and StockTitan, July 2026</w:t>
      </w:r>
    </w:p>
    <w:p>
      <w:pPr>
        <w:spacing w:before="20" w:after="20"/>
        <w:ind w:left="170"/>
      </w:pPr>
      <w:r>
        <w:rPr>
          <w:rFonts w:ascii="Calibri" w:hAnsi="Calibri"/>
          <w:b/>
          <w:color w:val="4A6B25"/>
          <w:sz w:val="15"/>
        </w:rPr>
        <w:t xml:space="preserve">4. </w:t>
      </w:r>
      <w:r>
        <w:rPr>
          <w:rFonts w:ascii="Calibri" w:hAnsi="Calibri"/>
          <w:b w:val="0"/>
          <w:color w:val="3A4A28"/>
          <w:sz w:val="17"/>
        </w:rPr>
        <w:t>Immuneering Insider Trading Activity (Zeskind and Neufeld Purchases) — SEC Form 4 Filings, January and June 2026</w:t>
      </w:r>
    </w:p>
    <w:p>
      <w:pPr>
        <w:spacing w:before="20" w:after="20"/>
        <w:ind w:left="170"/>
      </w:pPr>
      <w:r>
        <w:rPr>
          <w:rFonts w:ascii="Calibri" w:hAnsi="Calibri"/>
          <w:b/>
          <w:color w:val="4A6B25"/>
          <w:sz w:val="15"/>
        </w:rPr>
        <w:t xml:space="preserve">5. </w:t>
      </w:r>
      <w:r>
        <w:rPr>
          <w:rFonts w:ascii="Calibri" w:hAnsi="Calibri"/>
          <w:b w:val="0"/>
          <w:color w:val="3A4A28"/>
          <w:sz w:val="17"/>
        </w:rPr>
        <w:t>Wall Street Analyst Consensus and IMRX Price Targets — WallStreetZen and MarketBeat, accessed July 2026</w:t>
      </w:r>
    </w:p>
    <w:p>
      <w:pPr>
        <w:spacing w:before="20" w:after="20"/>
        <w:ind w:left="170"/>
      </w:pPr>
      <w:r>
        <w:rPr>
          <w:rFonts w:ascii="Calibri" w:hAnsi="Calibri"/>
          <w:b/>
          <w:color w:val="4A6B25"/>
          <w:sz w:val="15"/>
        </w:rPr>
        <w:t xml:space="preserve">6. </w:t>
      </w:r>
      <w:r>
        <w:rPr>
          <w:rFonts w:ascii="Calibri" w:hAnsi="Calibri"/>
          <w:b w:val="0"/>
          <w:color w:val="3A4A28"/>
          <w:sz w:val="17"/>
        </w:rPr>
        <w:t>StockAnalysis.com — IMRX Financial Overview, Market Cap, and Trading Volume,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