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IMVT</w:t>
      </w:r>
      <w:r>
        <w:rPr>
          <w:rFonts w:ascii="Calibri" w:hAnsi="Calibri"/>
          <w:b/>
          <w:color w:val="1A2010"/>
          <w:sz w:val="40"/>
        </w:rPr>
        <w:t xml:space="preserve">  Immunovant, Inc.</w:t>
      </w:r>
    </w:p>
    <w:p>
      <w:pPr>
        <w:spacing w:after="120"/>
      </w:pPr>
      <w:r>
        <w:rPr>
          <w:rFonts w:ascii="Calibri" w:hAnsi="Calibri"/>
          <w:b/>
          <w:color w:val="6E8450"/>
          <w:sz w:val="18"/>
        </w:rPr>
        <w:t>GROWTH SLEEVE · 2026-07-29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Immunovant is a clinical-stage biopharmaceutical company focused on developing next-generation antibody therapies targeting FcRn for autoimmune diseases. Following the discontinuation of batoclimab after Phase 3 failures in thyroid eye disease, the company's pipeline is now centered on IMVT-1402, with active clinical programs in Graves' disease, difficult-to-treat rheumatoid arthritis, myasthenia gravis, CIDP, Sjogren's disease, and cutaneous lupus erythematosus. Immunovant is a subsidiary of Roivant Sciences with an $8.18B market cap.</w:t>
      </w:r>
    </w:p>
    <w:p>
      <w:r>
        <w:rPr>
          <w:rFonts w:ascii="Calibri" w:hAnsi="Calibri"/>
          <w:b/>
          <w:color w:val="6E8450"/>
          <w:sz w:val="18"/>
        </w:rPr>
        <w:t>300 Employees · https://www.immunovant.com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Immunovant demonstrated meaningful strategic agility by discontinuing batoclimab after two Phase 3 studies in thyroid eye disease failed to meet primary endpoints in April 2026, and rapidly pivoting its entire pipeline to IMVT-1402, which showed strong preliminary Week 16 results in difficult-to-treat RA (ACR20 72.7%, ACR50 54.5%, ACR70 35.8%) [1][2]. This represents a significant and decisive strategic pivot — abandoning a failed lead asset and refocusing on a next-generation candidate with differentiated pharmacology. AI Deployment (0/2): No AI-powered products or quantified AI-driven R&amp;D efficiency gains. The company uses standard clinical-stage biotech development processes. Market Share (0/2): Pre-revenue with no commercial products on market. argenx's Vyvgart is the first-to-market approved FcRn inhibitor, giving competitors a commercial head start. Product Pipeline (1/2): IMVT-1402 is in clinical development across 6 autoimmune indications (Graves' disease, D2T RA, MG, CIDP, Sjogren's, cutaneous lupus) with 5 IND clearances, though all programs are early-to-mid-stage following the batoclimab failure [2]. R&amp;D Intensity (1/1): Substantially all spending (~$464M annual losses) is directed toward R&amp;D and clinical development, consistent with a clinical-stage biotech fully committed to its pipeline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Immunovant's mission to develop 'transformative antibody therapies for patients with autoimmune diseases' addresses genuine unmet medical need — autoimmune diseases affect millions and current treatments are often inadequate [2]. The patient-focused mission is clear and purposeful but is standard for the biotech industry and does not yet have commercial execution to validate it. Community &amp; Charitable Impact (0/2): No commercial products have reached patients. No charitable programs, community investment, or foundation activity was identified. Employee Retention (0/2): Glassdoor rating of 2.8/5 (20% below pharma/biotech average) with severe reviews describing 'toxic leadership and high turnover,' 'horrible culture,' and 'most of the original employees having left the company' [3]. CMO Michael Geffner departed in November 2025 as R&amp;D was centralized under CEO Venker, adding to leadership instability [3]. This is evidence of actively poor retention. Insider Buying (0/2): No specific insider buying data identified. CEO Eric Venker has standard equity compensation. Roivant Sciences holds majority ownership through structural position, not discretionary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Immunovant is a pre-revenue clinical-stage biotech with zero product sales and sustained quarterly losses of approximately $110M [1]. The $8.18B market cap is entirely pipeline optionality. D/E of 0% (zero debt with $352.6M equity) is the only positive metric, scoring a perfect 1.0 [5]. ROE of approximately -131.6% (from $464M losses against $352.6M equity) scores 0.0 [1]. Profit margin is undefined for a pre-revenue company and excluded. Revenue growth metrics are N/A. Forward P/E is undefined (negative earnings). Cash position of $902.1M as of March 31, 2026, plus a $950M upfront payment expected from the $2.25B Moderna settlement in July 2026, provides substantial runway [1][2]. However, the infrastructure algorithm cannot capture cash runway for pre-revenue biotechs — the score mechanically reflects the financial reality of a company with no revenue, massive losses, and deeply negative returns. Liquidity floor cleared: 2.0M avg volume x $40.31 = $80.6M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Immunovant shows some infinite game qualities through its decisive strategic pivot from failed batoclimab to IMVT-1402 and its multi-indication pipeline strategy across 6 autoimmune diseases. However, the company's binary dependence on clinical trial outcomes, toxic Glassdoor culture (2.8/5), CMO departure, and Roivant subsidiary structure create a fundamentally finite dynamic where each data readout is an existential event and organizational dysfunction threatens execution at the most critical stage.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Immunovant's patient-focused mission to develop transformative therapies for autoimmune diseases addresses genuine suffering — conditions like myasthenia gravis, Graves' disease, and treatment-resistant RA significantly impair quality of life [2]. The mission transcends quarterly metrics. However, the purpose statement is standard biotech boilerplate, the company has not yet delivered any products to patients, and the Roivant subsidiary structure means strategic direction is partially controlled by the parent company, limiting independent purpose-driven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with reviews describing 'toxic leadership and high turnover,' 'horrible culture with most original employees having left,' 'extreme turnover, poor management direction,' and concerns about 'moving fast at the risk of quality' [3]. The CMO departed in November 2025, centralizing all R&amp;D under the CEO — a structure that can either empower or concentrate risk. The pattern of departures and consistently negative culture reviews indicates a low-trust environment where employees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Immunovant explicitly uses argenx's commercial success with Vyvgart (the first approved FcRn inhibitor) as validation for the FcRn mechanism of action rather than viewing argenx purely as a competitor to defeat [2]. The company differentiates IMVT-1402 through subcutaneous delivery, deeper IgG reduction, and broader indication targets — using argenx's strengths as motivation to build a differentiated, potentially superior next-generation profile.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batoclimab to IMVT-1402 after Phase 3 failure represents genuine existential flexibility — the company abandoned its original defining asset and reoriented around a next-generation candidate with differentiated pharmacology [2]. The expansion from single-indication to 6 autoimmune targets for IMVT-1402 demonstrates willingness to evolve the strategy. However, both pivots were reactive (forced by clinical failure) rather than proactive strategic choices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discontinue batoclimab after two Phase 3 failures in TED — abandoning the company's original lead asset — and rapidly pivot the entire pipeline to IMVT-1402 demonstrated decisive courage over sunk-cost attachment [2]. CEO Eric Venker centralized R&amp;D leadership under himself following CMO Geffner's departure, taking personal accountability for pipeline execution. However, the simultaneous pursuit of 6 indications for a single molecule concentrates execution risk, and the Roivant framework provides institutional support that reduces the personal cost of these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Immunovant is a clinical-stage biotech with a focused FcRn inhibitor pipeline centered on IMVT-1402 across 6 autoimmune indications, trading at $8.18B market cap with $902M cash (plus $950M expected from the Moderna settlement in July 2026) and zero debt [1][2]. The decisive pivot from failed batoclimab to IMVT-1402 has been partially validated by strong preliminary D2T RA data (ACR20 73%, ACR50 55%, ACR70 36% at Week 16), demonstrating clinical promise in a massive market with significant unmet need [2]. The FcRn inhibitor class has been commercially validated by argenx's Vyvgart, confirming the biological mechanism Immunovant is targeting. With approximately $1.85B in expected cash and a 6-indication pipeline, Immunovant has runway to advance IMVT-1402 through multiple registrational trials, and the Roivant Sciences relationship provides infrastructure and strategic support.</w:t>
      </w:r>
    </w:p>
    <w:p>
      <w:pPr>
        <w:spacing w:after="120"/>
      </w:pPr>
      <w:r>
        <w:rPr>
          <w:rFonts w:ascii="Calibri" w:hAnsi="Calibri"/>
          <w:b w:val="0"/>
          <w:color w:val="3A4A28"/>
          <w:sz w:val="20"/>
        </w:rPr>
        <w:t>The bear case centers on binary clinical risk, toxic culture, and a batoclimab failure that raises execution concerns. Immunovant has zero revenue, $464M in annual losses, ROE of -131.6%, and an $8.18B market cap built entirely on pipeline optionality — if IMVT-1402 fails in registrational trials, the valuation collapses [1][5]. The batoclimab Phase 3 failure in TED is a warning signal about clinical execution capability. Glassdoor's 2.8/5 rating with reports of toxic culture, extreme turnover, and departed original employees creates serious execution risk at a clinical stage requiring operational excellence [3]. The CMO departure and centralization of R&amp;D under CEO Venker concentrates key-person risk. Competition from argenx's already-approved Vyvgart and UCB's rozanolixizumab means IMVT-1402 may be a third-generation product entering established markets. The Roivant subsidiary structure creates governance complexity and potential conflicts of interest between parent and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IMVT-1402 registrational data in Graves' disease and additional D2T RA results expected in coming quarters, with each positive readout de-risking the pipeline and validating the post-batoclimab pivot [2]</w:t>
      </w:r>
    </w:p>
    <w:p>
      <w:pPr>
        <w:spacing w:before="40" w:after="40"/>
        <w:ind w:left="283"/>
      </w:pPr>
      <w:r>
        <w:rPr>
          <w:rFonts w:ascii="Calibri" w:hAnsi="Calibri"/>
          <w:b/>
          <w:color w:val="4A6B25"/>
          <w:sz w:val="20"/>
        </w:rPr>
        <w:t xml:space="preserve">2. </w:t>
      </w:r>
      <w:r>
        <w:rPr>
          <w:rFonts w:ascii="Calibri" w:hAnsi="Calibri"/>
          <w:b w:val="0"/>
          <w:color w:val="3A4A28"/>
          <w:sz w:val="20"/>
        </w:rPr>
        <w:t>$2.25B Moderna settlement with $950M upfront expected July 2026, nearly doubling the cash position and extending runway through multiple registrational trials [1]</w:t>
      </w:r>
    </w:p>
    <w:p>
      <w:pPr>
        <w:spacing w:before="40" w:after="40"/>
        <w:ind w:left="283"/>
      </w:pPr>
      <w:r>
        <w:rPr>
          <w:rFonts w:ascii="Calibri" w:hAnsi="Calibri"/>
          <w:b/>
          <w:color w:val="4A6B25"/>
          <w:sz w:val="20"/>
        </w:rPr>
        <w:t xml:space="preserve">3. </w:t>
      </w:r>
      <w:r>
        <w:rPr>
          <w:rFonts w:ascii="Calibri" w:hAnsi="Calibri"/>
          <w:b w:val="0"/>
          <w:color w:val="3A4A28"/>
          <w:sz w:val="20"/>
        </w:rPr>
        <w:t>Multi-indication expansion with IMVT-1402 targeting 6 autoimmune diseases (GD, RA, MG, CIDP, Sjogren's, cutaneous lupus) provides multiple shots on goal in a class validated by argenx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batoclimab Phase 3 failure in TED demonstrates execution vulnerability, and IMVT-1402 failure in registrational trials would collapse the $8.18B market cap built on zero revenue [1][2]</w:t>
      </w:r>
    </w:p>
    <w:p>
      <w:pPr>
        <w:spacing w:before="40" w:after="40"/>
        <w:ind w:left="283"/>
      </w:pPr>
      <w:r>
        <w:rPr>
          <w:rFonts w:ascii="Calibri" w:hAnsi="Calibri"/>
          <w:b/>
          <w:color w:val="4A6B25"/>
          <w:sz w:val="20"/>
        </w:rPr>
        <w:t xml:space="preserve">2. </w:t>
      </w:r>
      <w:r>
        <w:rPr>
          <w:rFonts w:ascii="Calibri" w:hAnsi="Calibri"/>
          <w:b w:val="0"/>
          <w:color w:val="3A4A28"/>
          <w:sz w:val="20"/>
        </w:rPr>
        <w:t>Toxic organizational culture — Glassdoor 2.8/5 with reports of extreme turnover, departed original employees, and centralized R&amp;D under CEO alone after CMO departure creates acute execution risk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argenx's approved Vyvgart and UCB's rozanolixizumab in the FcRn space — Immunovant may be bringing a third-generation product to established markets with entrenched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Immunovant's core business — clinical-stage drug development — operates within a heavily regulated framework that AI cannot shortcut [2]. FDA-required Phase 1-3 clinical trials, biological safety testing, GMP manufacturing, and regulatory review create structural barriers that ensure human-administered therapeutics cannot be displaced by AI tools. The company's antibody engineering and FcRn biology expertise require deep domain knowledge in immunology and pharmacology. While AI drug discovery platforms (Recursion, Insilico Medicine) could accelerate competitor development timelines, they cannot eliminate the multi-year clinical trial process required for regulatory approval. Analysts do not flag AI as a disruption risk for clinical-stage biotech companies. AI Opportunity (0/1): No AI-related revenue. Immunovant has not disclosed AI integration in its R&amp;D processes for trial design, patient recruitment, or biomarker identification.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Immunovant Financial Results — Q4 2025 losses of $110.6M, $902.1M cash, $2.25B Moderna settlement, SEC/immunovant.com, 2026</w:t>
      </w:r>
    </w:p>
    <w:p>
      <w:pPr>
        <w:spacing w:before="20" w:after="20"/>
        <w:ind w:left="170"/>
      </w:pPr>
      <w:r>
        <w:rPr>
          <w:rFonts w:ascii="Calibri" w:hAnsi="Calibri"/>
          <w:b/>
          <w:color w:val="4A6B25"/>
          <w:sz w:val="15"/>
        </w:rPr>
        <w:t xml:space="preserve">2. </w:t>
      </w:r>
      <w:r>
        <w:rPr>
          <w:rFonts w:ascii="Calibri" w:hAnsi="Calibri"/>
          <w:b w:val="0"/>
          <w:color w:val="3A4A28"/>
          <w:sz w:val="17"/>
        </w:rPr>
        <w:t>Immunovant IMVT-1402 Clinical Updates — D2T RA Week 16 data (ACR20 73%, ACR50 55%, ACR70 36%), batoclimab discontinuation, 6-indication pipeline, Press Releases May 2026</w:t>
      </w:r>
    </w:p>
    <w:p>
      <w:pPr>
        <w:spacing w:before="20" w:after="20"/>
        <w:ind w:left="170"/>
      </w:pPr>
      <w:r>
        <w:rPr>
          <w:rFonts w:ascii="Calibri" w:hAnsi="Calibri"/>
          <w:b/>
          <w:color w:val="4A6B25"/>
          <w:sz w:val="15"/>
        </w:rPr>
        <w:t xml:space="preserve">3. </w:t>
      </w:r>
      <w:r>
        <w:rPr>
          <w:rFonts w:ascii="Calibri" w:hAnsi="Calibri"/>
          <w:b w:val="0"/>
          <w:color w:val="3A4A28"/>
          <w:sz w:val="17"/>
        </w:rPr>
        <w:t>Immunovant Leadership Changes and Glassdoor Reviews — CEO Venker, CMO Geffner departure, 2.8/5 Glassdoor, NASDAQ/Glassdoor, 2025-2026</w:t>
      </w:r>
    </w:p>
    <w:p>
      <w:pPr>
        <w:spacing w:before="20" w:after="20"/>
        <w:ind w:left="170"/>
      </w:pPr>
      <w:r>
        <w:rPr>
          <w:rFonts w:ascii="Calibri" w:hAnsi="Calibri"/>
          <w:b/>
          <w:color w:val="4A6B25"/>
          <w:sz w:val="15"/>
        </w:rPr>
        <w:t xml:space="preserve">4. </w:t>
      </w:r>
      <w:r>
        <w:rPr>
          <w:rFonts w:ascii="Calibri" w:hAnsi="Calibri"/>
          <w:b w:val="0"/>
          <w:color w:val="3A4A28"/>
          <w:sz w:val="17"/>
        </w:rPr>
        <w:t>Immunovant ESG and Company Profile — CSRHub, CapEdge ESG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CNBC — IMVT stock price, market cap $8.18B, average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