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w:t>
      </w:r>
      <w:r>
        <w:rPr>
          <w:rFonts w:ascii="Calibri" w:hAnsi="Calibri"/>
          <w:b/>
          <w:color w:val="1A2010"/>
          <w:sz w:val="40"/>
        </w:rPr>
        <w:t xml:space="preserve">  International Paper Company</w:t>
      </w:r>
    </w:p>
    <w:p>
      <w:pPr>
        <w:spacing w:after="120"/>
      </w:pPr>
      <w:r>
        <w:rPr>
          <w:rFonts w:ascii="Calibri" w:hAnsi="Calibri"/>
          <w:b/>
          <w:color w:val="6E8450"/>
          <w:sz w:val="18"/>
        </w:rPr>
        <w:t>DIVIDEND SLEEVE · 2026-08-23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Packaging &amp; Containers · NYSE · United States</w:t>
      </w:r>
    </w:p>
    <w:p>
      <w:pPr>
        <w:spacing w:after="80"/>
      </w:pPr>
      <w:r>
        <w:rPr>
          <w:rFonts w:ascii="Calibri" w:hAnsi="Calibri"/>
          <w:b w:val="0"/>
          <w:color w:val="3A4A28"/>
          <w:sz w:val="20"/>
        </w:rPr>
        <w:t>International Paper is one of the world's largest packaging and paper companies, producing corrugated packaging, containerboard, and pulp. The company completed its $9.9B acquisition of DS Smith in January 2025, significantly expanding its European operations. IP announced plans to separate into two independent public companies — North America and EMEA — within 12-15 months. Q2 2026 net sales were $6.0B with EPS of ($0.02), reflecting DS Smith integration costs, though North America adjusted EBITDA grew 37% YoY.</w:t>
      </w:r>
    </w:p>
    <w:p>
      <w:r>
        <w:rPr>
          <w:rFonts w:ascii="Calibri" w:hAnsi="Calibri"/>
          <w:b/>
          <w:color w:val="6E8450"/>
          <w:sz w:val="18"/>
        </w:rPr>
        <w:t>65,000 Employees · https://www.internationalpaper.com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International Paper's primary strategic action in the last five years was the $9.9B acquisition of DS Smith (closed January 2025), which expanded scale and geographic reach but represents acquisition-driven growth rather than product innovation or business model transformation [1]. The planned separation into North America and EMEA public companies is a structural change, not an innovation pivot. AI Deployment (0/2): No evidence of AI-powered products shipping to customers or specific AI-driven cost savings. IP is a traditional paper and packaging manufacturer with no meaningful AI deployment [2]. Market Share (2/2): After the DS Smith acquisition, International Paper is the world's largest corrugated packaging company by revenue, with a dominant position in North America and significant presence in Europe [1]. The combined entity processes millions of tons of containerboard annually and serves major e-commerce and industrial customers globally. Product Pipeline (0/2): No next-generation products announced with specific timelines or revenue visibility. Corrugated packaging is a mature, commodity product category with limited product innovation opportunity [2]. R&amp;D Intensity (0/1): Paper and packaging companies operate at below-average R&amp;D intensity relative to the broader market. IP does not disclose R&amp;D spending as a distinct line item, and the industry does not compete on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IP's mission — 'to improve people's lives, the planet and our company's performance by transforming renewable resources into products people depend on every day' — is clear and connects work to a larger purpose around sustainability and essential products, but is not distinctive enough to differentiate from peers in the packaging industry [4]. The addition of 'our company's performance' dilutes the aspirational quality. Community &amp; Charitable Impact (0/2): No specific charitable foundation, community investment dollar amounts, or distinctive social programs were identified in research beyond general corporate responsibility statements in the sustainability report. Employee Retention (0/2): Glassdoor rating of 3.3/5 across 3,123 reviews, with culture described as 'old-school' and innovation not perceived as a high priority [3]. Culture and values rated 3.1/5 and career opportunities 3.0/5 — average for a large industrial company with no standout retention evidence. Insider Buying (1/2): CEO Andrew Silvernail purchased 50,000 shares and Director Anders Gustafsson bought 13,217 shares following the stock's pullback [4]. However, other executives have engaged in sizable insider sales, and mixed signals around free cash flow and dividend sustainability temper the bullish insider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payout ratio excluded (earnings temporarily negative from DS Smith integration charges). D/E of 51% scores a perfect 1.0, reflecting manageable leverage despite $9.76B in debt against $1.24B cash [2]. ROE of -16.04% and profit margin of -13.77% both score 0, reflecting GAAP losses driven by DS Smith integration, restructuring charges, and purchase accounting amortization [1]. Revenue growth YoY of approximately -2% scores 0.60 (slight organic decline partially offset by pricing actions), while 5yr CAGR of approximately 4% (including acquisitions) scores 0.60 [1]. Forward P/E of 23.89x scores 0.90, reasonably valued for a capital-intensive industrial company. Dividend metrics provide support: 34+ consecutive years paid scores 1.0 (2x weight), 4 consecutive years of growth scores 0.40, and estimated 5yr dividend growth CAGR of 5% scores 0.83 (2x weight). Weighted sum of 7.17 out of 11 available weight units (payout ratio excluded). Liquidity floor easily cleared with approximately $132M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International Paper is a 125-year-old company with endurance credentials but limited evidence of infinite game thinking under current leadership. New CEO Andy Silvernail (since May 2024) inherited a company in strategic transition — the DS Smith acquisition and planned North America/EMEA separation are bold moves, but they are driven more by financial engineering and portfolio optimization than by a compelling Just Cause. The 'old-school' culture, average Glassdoor ratings, and reliance on acquisition-driven growth suggest a company playing to optimize rather than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IP's mission to 'improve people's lives, the planet and our company's performance by transforming renewable resources' exists but reads as corporate marketing rather than a genuine Just Cause that drives strategic decisions [4]. The inclusion of 'company's performance' as a co-equal goal dilutes the purpose element. Strategic decisions — the DS Smith acquisition, planned company split, $710M cost-cutting program — appear driven by financial optimization rather than a vision of a better future. The company's 125-year history suggests endurance, but longevity alone does not constitute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IP has a stable, large workforce of approximately 65,000 employees across North America and Europe [3]. Glassdoor rating of 3.3/5 with work-life balance at 3.0/5 and culture at 3.1/5 suggests an adequate but uninspiring organizational culture [3]. Reviews describe the culture as 'old-school' with innovation not a high priority. New CEO Silvernail is undertaking a significant organizational transformation with the DS Smith integration and planned company separation, which creates uncertainty but also opportunity to reshape culture. No evidence of exceptional trust or serious dysfunction — average for a large industrial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IP's competitive language centers on scale and market dominance — being the 'world's largest packaging company' after DS Smith [1]. The planned separation into two independent companies is framed around portfolio optimization and shareholder value creation, not about improving through competitive learning. No management commentary was identified referencing learning from rivals like WestRock/Smurfit, Packaging Corporation of America, or other packaging competitors. The competitive posture is finite — focused on size and cost advantage rather than continuous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$9.9B DS Smith acquisition and subsequent decision to separate into two independent public companies within 12-15 months represents significant strategic evolution [1]. IP is restructuring its entire operating model, entering European markets at scale, and then purposefully separating geographies to optimize each entity. The company has also executed $710M in cost-out actions since 2024. These are meaningful strategic shifts, but they are incremental — acquisition and restructuring rather than a transformative reinvention of the business model. Corrugated packaging remains the core product.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Silvernail made bold moves early in his tenure — the $9.9B DS Smith acquisition was the largest in IP's history and required significant organizational integration effort [1]. The subsequent decision to split into two public companies rather than operate as a conglomerate shows willingness to make structurally painful decisions. CEO insider buying of 50,000 shares signals personal conviction [4]. However, these decisions are primarily financial optimization rather than investing in long-term capability at the expense of near-term earnings. The $710M cost-out program and restructuring charges suggest a focus on efficiency over building new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International Paper at $33 offers deep value with a 5.67% dividend yield backed by the world's largest corrugated packaging operation following the $9.9B DS Smith acquisition [1]. North America adjusted EBITDA grew 37% YoY in Q2 2026 on $710M in executed cost-out actions, demonstrating operational improvement beneath the GAAP loss headline. The planned separation into North America and EMEA public companies should unlock conglomerate discount value and allow each entity to optimize for its regional market dynamics. Forward P/E of 23.89x reflects reasonable expectations, and D/E of 51% indicates manageable leverage. The Inspire Impact Score of 49 (ALIGNED) with 20 positive attributions and zero negatives reflects strong ESG positioning in a business fundamentally tied to sustainable, renewable packaging materials.</w:t>
      </w:r>
    </w:p>
    <w:p>
      <w:pPr>
        <w:spacing w:after="120"/>
      </w:pPr>
      <w:r>
        <w:rPr>
          <w:rFonts w:ascii="Calibri" w:hAnsi="Calibri"/>
          <w:b w:val="0"/>
          <w:color w:val="3A4A28"/>
          <w:sz w:val="20"/>
        </w:rPr>
        <w:t>The bear case centers on near-term profitability, integration risk, and dividend sustainability. GAAP EPS of ($0.02) in Q2 2026 with profit margin of -13.77% and ROE of -16.04% indicate the DS Smith integration is destroying shareholder value in the near term, with restructuring charges, purchase accounting amortization, and operational disruption weighing heavily on results [1]. The $1.85 annual dividend is being paid from negative earnings — a clearly unsustainable payout ratio that depends on operating cash flow and cost savings materializing as projected. The planned company separation introduces execution risk and could distract management from the core integration. Corrugated packaging is a cyclical commodity business with limited pricing power, and any economic slowdown would pressure both volumes and margins. The 'old-school' culture (Glassdoor 3.3/5) and average employee sentiment raise questions about whether the organization can execute a complex integration and separation simultaneously [3]. Only 4 consecutive years of dividend growth and recent insider selling by a top executive add to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DS Smith integration cost synergies — $710M in cost-out actions already executed with further savings expected as the integration matures, driving margin expansion from current negative levels toward historical mid-single-digit profitability [1]</w:t>
      </w:r>
    </w:p>
    <w:p>
      <w:pPr>
        <w:spacing w:before="40" w:after="40"/>
        <w:ind w:left="283"/>
      </w:pPr>
      <w:r>
        <w:rPr>
          <w:rFonts w:ascii="Calibri" w:hAnsi="Calibri"/>
          <w:b/>
          <w:color w:val="4A6B25"/>
          <w:sz w:val="20"/>
        </w:rPr>
        <w:t xml:space="preserve">2. </w:t>
      </w:r>
      <w:r>
        <w:rPr>
          <w:rFonts w:ascii="Calibri" w:hAnsi="Calibri"/>
          <w:b w:val="0"/>
          <w:color w:val="3A4A28"/>
          <w:sz w:val="20"/>
        </w:rPr>
        <w:t>Planned separation into North America and EMEA public companies within 12-15 months could unlock 15-25% conglomerate discount value and attract pure-play investors to each entity [1]</w:t>
      </w:r>
    </w:p>
    <w:p>
      <w:pPr>
        <w:spacing w:before="40" w:after="40"/>
        <w:ind w:left="283"/>
      </w:pPr>
      <w:r>
        <w:rPr>
          <w:rFonts w:ascii="Calibri" w:hAnsi="Calibri"/>
          <w:b/>
          <w:color w:val="4A6B25"/>
          <w:sz w:val="20"/>
        </w:rPr>
        <w:t xml:space="preserve">3. </w:t>
      </w:r>
      <w:r>
        <w:rPr>
          <w:rFonts w:ascii="Calibri" w:hAnsi="Calibri"/>
          <w:b w:val="0"/>
          <w:color w:val="3A4A28"/>
          <w:sz w:val="20"/>
        </w:rPr>
        <w:t>E-commerce secular growth driving sustained demand for corrugated packaging — the shift from brick-and-mortar to online retail increases packaging intensity per unit of GDP, providing a structural tailwind for the world's largest corrugated producer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at risk — $1.85 annual dividend paid from negative GAAP earnings with payout ratio undefined, dependent on operating cash flow and cost synergy realization; a dividend cut would eliminate the primary investment thesis for income investors [1]</w:t>
      </w:r>
    </w:p>
    <w:p>
      <w:pPr>
        <w:spacing w:before="40" w:after="40"/>
        <w:ind w:left="283"/>
      </w:pPr>
      <w:r>
        <w:rPr>
          <w:rFonts w:ascii="Calibri" w:hAnsi="Calibri"/>
          <w:b/>
          <w:color w:val="4A6B25"/>
          <w:sz w:val="20"/>
        </w:rPr>
        <w:t xml:space="preserve">2. </w:t>
      </w:r>
      <w:r>
        <w:rPr>
          <w:rFonts w:ascii="Calibri" w:hAnsi="Calibri"/>
          <w:b w:val="0"/>
          <w:color w:val="3A4A28"/>
          <w:sz w:val="20"/>
        </w:rPr>
        <w:t>DS Smith integration and company separation execution risk — simultaneously integrating a $9.9B acquisition and preparing to split into two public companies creates organizational complexity that could delay synergy capture and distract management [1]</w:t>
      </w:r>
    </w:p>
    <w:p>
      <w:pPr>
        <w:spacing w:before="40" w:after="40"/>
        <w:ind w:left="283"/>
      </w:pPr>
      <w:r>
        <w:rPr>
          <w:rFonts w:ascii="Calibri" w:hAnsi="Calibri"/>
          <w:b/>
          <w:color w:val="4A6B25"/>
          <w:sz w:val="20"/>
        </w:rPr>
        <w:t xml:space="preserve">3. </w:t>
      </w:r>
      <w:r>
        <w:rPr>
          <w:rFonts w:ascii="Calibri" w:hAnsi="Calibri"/>
          <w:b w:val="0"/>
          <w:color w:val="3A4A28"/>
          <w:sz w:val="20"/>
        </w:rPr>
        <w:t>Cyclical commodity exposure — corrugated packaging volumes and pricing are correlated with industrial production and GDP growth; an economic slowdown would pressure revenues at a time when the balance sheet carries $9.76B in acquisition-related debt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International Paper's core business — manufacturing corrugated packaging, containerboard, and pulp from wood fiber — involves physical-world operations that AI structurally cannot displace [1]. Paper mills, converting plants, recycling facilities, and forestry operations require physical infrastructure, raw materials, and logistics networks that no AI technology can substitute. E-commerce growth continues to drive demand for corrugated packaging, and AI adoption across industries may actually increase demand as more goods are shipped to consumers. The DS Smith acquisition strengthened IP's position in sustainable packaging, another physical product category immune to AI substitution. AI Opportunity (0/1): No evidence of meaningful AI revenue generation. IP uses traditional manufacturing processes and has not deployed AI-powered products or services to customers. Some process automation may exist in manufacturing operations, but no quantifiable AI revenue or savings were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International Paper Q2 2026 Earnings &amp; 10-Q — Revenue $6.0B, EPS ($0.02), North America Adjusted EBITDA +37% YoY, $710M Cost-Out Actions, Planned NA/EMEA Separation, TradingView/Alpha-Sense, 2026</w:t>
      </w:r>
    </w:p>
    <w:p>
      <w:pPr>
        <w:spacing w:before="20" w:after="20"/>
        <w:ind w:left="170"/>
      </w:pPr>
      <w:r>
        <w:rPr>
          <w:rFonts w:ascii="Calibri" w:hAnsi="Calibri"/>
          <w:b/>
          <w:color w:val="4A6B25"/>
          <w:sz w:val="15"/>
        </w:rPr>
        <w:t xml:space="preserve">2. </w:t>
      </w:r>
      <w:r>
        <w:rPr>
          <w:rFonts w:ascii="Calibri" w:hAnsi="Calibri"/>
          <w:b w:val="0"/>
          <w:color w:val="3A4A28"/>
          <w:sz w:val="17"/>
        </w:rPr>
        <w:t>International Paper DS Smith Acquisition — $9.9B Transaction Completed January 31, 2025, Planned 12-15 Month Separation Timeline, PRNewswire/StreetInsider,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Yahoo Finance — IP Key Statistics: Forward P/E 23.89x, D/E 51%, ROE -16.04%, Profit Margin -13.77%, Dividend Yield 5.67%, Glassdoor 3.3/5,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International Paper Mission, Vision &amp; Values — Comparably; Insider Buying: CEO Silvernail 50,000 shares, Director Gustafsson 13,217 shares — Simply Wall St, TipRanks, 2026</w:t>
      </w:r>
    </w:p>
    <w:p>
      <w:pPr>
        <w:spacing w:before="20" w:after="20"/>
        <w:ind w:left="170"/>
      </w:pPr>
      <w:r>
        <w:rPr>
          <w:rFonts w:ascii="Calibri" w:hAnsi="Calibri"/>
          <w:b/>
          <w:color w:val="4A6B25"/>
          <w:sz w:val="15"/>
        </w:rPr>
        <w:t xml:space="preserve">5. </w:t>
      </w:r>
      <w:r>
        <w:rPr>
          <w:rFonts w:ascii="Calibri" w:hAnsi="Calibri"/>
          <w:b w:val="0"/>
          <w:color w:val="3A4A28"/>
          <w:sz w:val="17"/>
        </w:rPr>
        <w:t>International Paper Dividend History — 34+ Year Payment History, 4 Consecutive Years Growth, $1.85 Annual Dividend ($0.4625/quarter) — Macrotrends, Dividend.com, Nasdaq</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