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IR</w:t>
      </w:r>
      <w:r>
        <w:rPr>
          <w:rFonts w:ascii="Calibri" w:hAnsi="Calibri"/>
          <w:b/>
          <w:color w:val="1A2010"/>
          <w:sz w:val="40"/>
        </w:rPr>
        <w:t xml:space="preserve">  Ingersoll Rand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2026-09-01 · Inspire: 68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59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Industrials · Specialty Industrial Machinery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Ingersoll Rand Inc. is a diversified industrial company providing mission-critical flow creation and industrial solutions worldwide. The company operates through two segments: Industrial Technologies &amp; Services (compressors, blowers, vacuum systems, air treatment, and power tools) and Precision &amp; Science Technologies (pumps, fluid management, and dosing equipment). Formed from the 2020 merger of Gardner Denver and Ingersoll-Rand's Industrial segment, the company has completed 80+ bolt-on acquisitions to build a broad industrial platform.</w:t>
      </w:r>
    </w:p>
    <w:p>
      <w:r>
        <w:rPr>
          <w:rFonts w:ascii="Calibri" w:hAnsi="Calibri"/>
          <w:b/>
          <w:color w:val="6E8450"/>
          <w:sz w:val="18"/>
        </w:rPr>
        <w:t>21,000 Employees · https://www.irco.com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Innovation Track Record (2/3): The 2020 Gardner Denver / IR Industrial merger was a transformative business model change, creating a diversified industrial platform. Since then, IR has completed 80+ bolt-on acquisitions including recent additions Fai Filtri and a US blower manufacturer, systematically expanding into adjacent markets [1]. AI Deployment (0/2): No evidence of AI-powered products shipping to customers or specific AI-driven cost savings reported; digitalization and IIoT efforts remain general corporate initiatives without quantified results [5]. Market Share Leadership (1/2): IR holds meaningful positions in industrial compressors, blowers, and precision pumps, but competes against category leader Atlas Copco without dominant share across the portfolio [1]. Product Pipeline (1/2): Ongoing acquisition pipeline provides growth visibility, with management guiding 2-3% from M&amp;A for FY2026, and sustainability-driven product development targeting energy-efficient compressor and blower solutions [3]. R&amp;D Intensity (0/1): R&amp;D spending is at or near industry average for diversified industrials; the company's growth strategy emphasizes acquisitions over organic R&amp;D.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'Making Life Better' is the company's stated purpose — it connects IR's industrial products to improving efficiency, sustainability, and working conditions, but the phrase itself is highly generic and could apply to almost any company without modification. Community Impact (1/2): IR set ambitious 2030 and 2050 environmental goals including net-zero GHG by 2050, 17% water use reduction by 2030, and was recognized as a 2026 ESG Leader by Morningstar Sustainalytics [4]. Employee Retention (1/2): CEO Reynal emphasizes employee ownership culture and the company promotes a progressive, diverse, and inclusive workplace. No negative cultural signals, but no specific retention data (average tenure, voluntary turnover rates) available to confirm above-average performance [5]. Insider Buying (0/2): No evidence of meaningful net insider buying by CEO Reynal or other executives in the last 12 months.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Solid industrial financial profile with strong balance sheet and moderate growth. D/E of 48% is well below the 70% target and Moody's upgraded the credit rating to Baa1 [1]. ROE of 9.47% underperforms the 15% target (score 0.63), reflecting the asset-heavy industrial business model. Revenue growth of 8% YoY and estimated 9% 5yr CAGR are near but below the 10% target. Forward P/E of 20.97 just exceeds the 20 target (score 0.98) [2]. Profit margin of 12.08% is well below the 20% target (score 0.60), typical for diversified industrials. Forward PEG unavailable, excluded from calculation. Liquidity is excellent: 3.6M shares × $77.05 = $277M daily traded value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Ingersoll Rand demonstrates a mixed infinite game profile. The company's purpose of 'Making Life Better' is genuine but generic, and the acquisition-driven growth strategy prioritizes scale over deep purpose. CEO Reynal's employee ownership culture and disciplined capital allocation show long-term orientation, but the company has not faced a true test of existential flexibility or sacrificed near-term earnings for a bold strategic bet. The competitive relationship with Atlas Copco shows healthy awareness of worthy rivals.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IR's purpose of 'Making Life Better' is well-intentioned but reads as a corporate platitude rather than a Just Cause that inspires sacrifice. It does not describe a future state that doesn't yet exist, and it lacks the specificity to differentiate IR from any other industrial company. The purpose has not been tested through crisis or multi-decade consistency — the current Ingersoll Rand was formed just six years ago in 2020 [5].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Positive signals from IR's employee ownership culture, which CEO Reynal cites as a core organizational value. The company promotes 'progressive, diverse and inclusive culture' as a strategic priority and has maintained leadership stability since the 2020 merger [5]. No evidence of major layoffs, cultural red flags, or organizational instability. The consistent M&amp;A integration without apparent cultural disruption suggests adequate-to-good organizational trust across 21,000 employees.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IR explicitly benchmarks against Atlas Copco, the acknowledged gold standard in industrial compressors, using Atlas Copco's superior margins and innovation as motivation to improve its own operations rather than as a target to destroy [5]. This healthy competitive orientation — recognizing a rival's strengths to drive self-improvement — is precisely the infinite game mindset Sinek describes.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2020 formation of the new Ingersoll Rand through the Gardner Denver / IR Industrial merger was a significant strategic transformation, and the subsequent 80+ acquisitions have meaningfully evolved the company's portfolio and market position [1]. However, the core business model (manufacturing industrial equipment, selling through industrial distribution) has not fundamentally changed, and the acquisitions are incremental portfolio expansion rather than a transformative pivot driven by purpose.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IR demonstrated some courage in executing the complex Gardner Denver / IR Industrial merger during 2020 (amidst COVID), and has maintained disciplined M&amp;A execution with 80+ acquisitions while keeping leverage manageable at 1.7x net debt/EBITDA [1]. The company prioritized growth investment over shareholder returns — the 0.1% dividend yield reflects a deliberate choice to reinvest capital in acquisitions rather than distributions. However, the company has not made a visibly costly or contrarian bet that sacrificed near-term earnings.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Ingersoll Rand is a well-managed industrial compounder with a disciplined acquisition strategy and strong balance sheet. Q2 2026 revenue of $2.05B (+9% YoY) and adjusted EBITDA of $520M demonstrate consistent execution, while the raised FY2026 guidance to 4.5-6.5% revenue growth and $3.45-$3.57 adjusted EPS shows management confidence [1][3]. The company's net debt/EBITDA of 1.7x, Moody's Baa1 upgrade, and $3.8B in liquidity provide significant capacity for continued bolt-on acquisitions. IR's physical industrial products are among the most AI-immune businesses in the market, and data center growth is a direct secular tailwind for compressor and cooling demand. With an ALIGNED Inspire score of 68, ESG Leader recognition from Sustainalytics, and 18 positive ESG attributions, IR is well-positioned for faith-aligned investors.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valuation and growth quality: at 20.97x forward earnings with only 7% adjusted EPS growth and 1-3% organic revenue growth, IR trades at a significant premium to its fundamental growth rate. The 31.69x trailing P/E is expensive for a diversified industrial company generating 12% profit margins and 9.5% ROE [2]. Organic growth of just 1.6% in Q2 orders and 4.1% in revenue suggests the underlying business is growing slowly, with headline growth driven by M&amp;A that may not be creating value proportionate to the premium multiple. The IT&amp;S segment's book-to-bill of 1.0x in Q2 signals order growth has stalled, and adjusted EBITDA margin compression of 180 bps year-over-year raises questions about pricing power in a competitive industrial market. The acquisition-heavy strategy also carries integration risk across dozens of recent deals.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AI data center buildout creating secular demand for IR's compressors, cooling systems, and industrial infrastructure — a structural tailwind independent of the economic cycle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Continued disciplined M&amp;A with $3.8B in available liquidity could accelerate revenue growth above the current 4.5-6.5% guidance range through additional bolt-on acquisitions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Precision &amp; Science Technologies segment expanding adjusted EBITDA margins by 200 bps to 31.5% in Q2 demonstrates mix-shift potential toward higher-margin businesses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Organic order growth of only 1.6% in Q2 2026 and IT&amp;S book-to-bill of 1.0x signal underlying demand deceleration that acquisition contributions may be masking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Adjusted EBITDA margin compression of 180 bps in IT&amp;S raises questions about pricing power and integration execution across 80+ recent acquisitions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At 31.69x trailing PE with 9.5% ROE, the stock prices in continued premium execution that leaves little margin of safety if organic growth disappoints or acquisition multiples compress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Ingersoll Rand manufactures physical industrial equipment — compressors, blowers, pumps, and fluid management systems — that AI structurally cannot displace. These are mission-critical physical infrastructure products requiring precision engineering, manufacturing at scale, and installation-specific customization. AI growth actually increases demand for IR's products: data centers require compressed air systems, cooling infrastructure, and industrial fluid management [1]. Industrial equipment faces zero substitution risk from AI. The only vulnerability is that AI-enhanced predictive maintenance could reduce aftermarket parts revenue if it extends equipment lifecycles. AI Opportunity (0/1): IR has general digitalization and IIoT initiatives but does not generate quantifiable revenue from AI-specific products or services.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68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Critical Risk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Human Rights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Ingersoll Rand Q2 2026 Earnings Release, investors.irco.com,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Stock Analysis — IR key statistics and valuation metrics, accessed September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Seeking Alpha — Ingersoll Rand raises 2026 revenue growth outlook to 4.5%-6.5%,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ESG Today — Ingersoll Rand sets 2030/2050 sustainability goals and ESG Leader recognition,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Simply Wall St — Ingersoll Rand leadership and management analysis,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6. </w:t>
      </w:r>
      <w:r>
        <w:rPr>
          <w:rFonts w:ascii="Calibri" w:hAnsi="Calibri"/>
          <w:b w:val="0"/>
          <w:color w:val="3A4A28"/>
          <w:sz w:val="17"/>
        </w:rPr>
        <w:t>Ingersoll Rand DEF 14A Proxy Statement, SEC filings,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