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JFR</w:t>
      </w:r>
      <w:r>
        <w:rPr>
          <w:rFonts w:ascii="Calibri" w:hAnsi="Calibri"/>
          <w:b/>
          <w:color w:val="1A2010"/>
          <w:sz w:val="40"/>
        </w:rPr>
        <w:t xml:space="preserve">  Nuveen Floating Rate Income Fund</w:t>
      </w:r>
    </w:p>
    <w:p>
      <w:pPr>
        <w:spacing w:after="120"/>
      </w:pPr>
      <w:r>
        <w:rPr>
          <w:rFonts w:ascii="Calibri" w:hAnsi="Calibri"/>
          <w:b/>
          <w:color w:val="6E8450"/>
          <w:sz w:val="18"/>
        </w:rPr>
        <w:t>DIVIDEND SLEEVE · 2026-08-10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Closed-End Fund - Debt · NYSE · United States</w:t>
      </w:r>
    </w:p>
    <w:p>
      <w:pPr>
        <w:spacing w:after="80"/>
      </w:pPr>
      <w:r>
        <w:rPr>
          <w:rFonts w:ascii="Calibri" w:hAnsi="Calibri"/>
          <w:b w:val="0"/>
          <w:color w:val="3A4A28"/>
          <w:sz w:val="20"/>
        </w:rPr>
        <w:t>Nuveen Floating Rate Income Fund is a closed-end management investment company that seeks to achieve a high level of current income by investing at least 80% of assets in senior floating rate loans, including both secured and unsecured senior loans. The fund uses structural leverage of approximately 37% through bank borrowings and term preferred shares to amplify income. Co-managed by Nuveen Fund Advisors LLC and Symphony Asset Management LLC. Launched in 2004, approximately $1.34B in total assets.</w:t>
      </w:r>
    </w:p>
    <w:p>
      <w:r>
        <w:rPr>
          <w:rFonts w:ascii="Calibri" w:hAnsi="Calibri"/>
          <w:b/>
          <w:color w:val="6E8450"/>
          <w:sz w:val="18"/>
        </w:rPr>
        <w:t>https://www.nuveen.com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JFR is a passive closed-end fund structure — it does not develop products, launch businesses, or execute strategic pivots. The fund has maintained the same investment strategy (senior floating rate loans) since its 2004 inception with no structural evolution [1]. AI Deployment (0/2): No AI deployment. Fund management decisions are made by Nuveen Fund Advisors LLC and Symphony Asset Management LLC using traditional credit analysis processes [1]. Market Share (1/2): JFR is one of the larger floating rate CEFs with $1.34B in total assets, managed by Nuveen (a subsidiary of TIAA, managing $1.3T+ overall), giving it meaningful scale in the floating rate loan CEF niche [1][2]. Product Pipeline (0/2): No product pipeline — the fund's mandate and structure are fixed by its charter. R&amp;D Intensity (0/1): Not applicable to a closed-end fund.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JFR's stated investment objective is 'to achieve a high level of current income' — a purely financial objective with no connection to a larger purpose [1]. This is functional and transparent but interchangeable with any income-focused fund. Nuveen's parent TIAA has a broader mission of serving retirement savers, but this purpose does not meaningfully shape JFR's strategy. Community Impact (0/2): No community investment programs — JFR is an investment vehicle, not an operating company. Employee Retention (0/2): JFR has no employees. The fund is externally managed by Nuveen Fund Advisors LLC and Symphony Asset Management LLC. Insider Buying (0/2): No meaningful insider buying data available. The fund is managed by external advisors whose personal investment in the fund is not publicly disclosed.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metrics on available data. D/E equivalent of 58.6% (derived from 36.91% effective leverage) is below the 70% target (score 1.0) [3]. Estimated ROE of 9.4% (net income $79M / estimated equity ~$844M) falls short of the 15% target (score 0.63) [4]. Revenue (interest income) declined 1.8% YoY to $177.5M (score 0.61) as floating rate income moderates with rate expectations [4]. Profit margin of 44.5% exceeds the 20% target (score 1.0). Payout ratio of approximately 192% ($0.94 distribution vs $0.49 EPS) exceeds the 100% floor (score 0.0), indicating distributions include return of capital — a common but unsustainable practice for leveraged CEFs [4]. Consecutive years paid: 22 years since 2004 inception (score 1.0 at 2x weight). Revenue growth 5yr CAGR, forward P/E, consecutive years of distribution growth, and 5yr distribution growth CAGR excluded due to unavailability.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JFR is a structurally finite vehicle — a closed-end fund designed to generate income through a fixed investment mandate. It has no Just Cause, no leadership team making courageous strategic decisions, and no existential flexibility to pivot its business model. The fund exists to maximize current income for shareholders, which is the definition of finite-game thinking. The 22-year track record reflects structural durability but not purpose-driven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JFR's investment objective — 'to achieve a high level of current income' — is a purely financial goal with no vision of a better future [1]. The fund exists to generate income, not to advance a cause. While Nuveen's parent TIAA has a mission of serving retirement savers, this broader purpose does not shape JFR's investment decisions or strategy in any visible way.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JFR is externally managed by Nuveen Fund Advisors LLC and Symphony Asset Management LLC, both established institutional asset managers with stable organizational cultures [2]. Nuveen, a subsidiary of TIAA (managing $1.3T+), provides institutional-grade governance and operational infrastructure. However, the fund has no direct employees and the management relationship is contractual, limiting the relevance of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acknowledgment of rival funds' strengths. JFR operates in a competitive landscape of floating rate CEFs and loan ETFs but does not publicly articulate how competitive dynamics drive improvement in its investment process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JFR's investment mandate is fixed by its fund charter — at least 80% in senior floating rate loans, at least 65% in secured senior loans [1]. The fund cannot pivot to a different asset class, change its investment objective, or fundamentally restructure without shareholder approval. This structural rigidity is inherent to closed-end funds and precludes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fund management making costly long-term strategic decisions that sacrifice near-term income for future capability. The fund's 37% leverage amplifies returns in both directions, representing a permanent structural choice rather than a courageous bet [3]. Distribution policy appears to include return of capital (payout ratio ~192%), which sustains the yield at the expense of NAV — a finite-game optimization for current income over long-term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JFR offers a 12% distribution yield backed by a $1.34B portfolio of senior secured floating rate corporate loans, providing income that adjusts with interest rates — a structural advantage in volatile rate environments [1]. The 22-year track record since 2004 inception demonstrates durability through multiple credit cycles including the 2008 financial crisis and COVID-19 pandemic. Nuveen's institutional management infrastructure and TIAA parentage provide operational stability and access to deal flow in the syndicated loan market [2]. The fund's 0.38 beta offers portfolio diversification benefits with limited correlation to equity markets.</w:t>
      </w:r>
    </w:p>
    <w:p>
      <w:pPr>
        <w:spacing w:after="120"/>
      </w:pPr>
      <w:r>
        <w:rPr>
          <w:rFonts w:ascii="Calibri" w:hAnsi="Calibri"/>
          <w:b w:val="0"/>
          <w:color w:val="3A4A28"/>
          <w:sz w:val="20"/>
        </w:rPr>
        <w:t>JFR scores poorly in the IOWN framework because it is a passive investment vehicle, not an operating company — it lacks innovation, purpose, and infinite game qualities by structural design. Beyond framework limitations, fundamental concerns persist: the 192% payout ratio indicates distributions exceed net investment income, meaning the fund is returning capital to shareholders and eroding NAV over time [4]. The 37% leverage amplifies credit losses in economic downturns and increases sensitivity to rising funding costs [3]. Revenue (interest income) declined 7.2% in FY2025 and a further 1.8% TTM as rate expectations moderate [4]. The 1.99% expense ratio is high relative to competing floating rate ETFs (BKLN at 0.65%, SRLN at 0.70%) that offer similar exposure at a fraction of the cost. Closed-end fund structures face secular pressure from ETF proliferation, and persistent NAV discounts may never close.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maintaining higher-for-longer interest rate policy would sustain floating rate loan income and support the 12% distribution yield</w:t>
      </w:r>
    </w:p>
    <w:p>
      <w:pPr>
        <w:spacing w:before="40" w:after="40"/>
        <w:ind w:left="283"/>
      </w:pPr>
      <w:r>
        <w:rPr>
          <w:rFonts w:ascii="Calibri" w:hAnsi="Calibri"/>
          <w:b/>
          <w:color w:val="4A6B25"/>
          <w:sz w:val="20"/>
        </w:rPr>
        <w:t xml:space="preserve">2. </w:t>
      </w:r>
      <w:r>
        <w:rPr>
          <w:rFonts w:ascii="Calibri" w:hAnsi="Calibri"/>
          <w:b w:val="0"/>
          <w:color w:val="3A4A28"/>
          <w:sz w:val="20"/>
        </w:rPr>
        <w:t>Credit market stability and low default rates in the leveraged loan market would protect NAV and support distribution coverage</w:t>
      </w:r>
    </w:p>
    <w:p>
      <w:pPr>
        <w:spacing w:before="40" w:after="40"/>
        <w:ind w:left="283"/>
      </w:pPr>
      <w:r>
        <w:rPr>
          <w:rFonts w:ascii="Calibri" w:hAnsi="Calibri"/>
          <w:b/>
          <w:color w:val="4A6B25"/>
          <w:sz w:val="20"/>
        </w:rPr>
        <w:t xml:space="preserve">3. </w:t>
      </w:r>
      <w:r>
        <w:rPr>
          <w:rFonts w:ascii="Calibri" w:hAnsi="Calibri"/>
          <w:b w:val="0"/>
          <w:color w:val="3A4A28"/>
          <w:sz w:val="20"/>
        </w:rPr>
        <w:t>Potential narrowing of the CEF discount to NAV if interest rate volatility drives demand for actively managed floating rate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payout ratio of 192% means the fund is returning capital and eroding NAV — if net investment income continues declining with rates, distribution cuts become likely</w:t>
      </w:r>
    </w:p>
    <w:p>
      <w:pPr>
        <w:spacing w:before="40" w:after="40"/>
        <w:ind w:left="283"/>
      </w:pPr>
      <w:r>
        <w:rPr>
          <w:rFonts w:ascii="Calibri" w:hAnsi="Calibri"/>
          <w:b/>
          <w:color w:val="4A6B25"/>
          <w:sz w:val="20"/>
        </w:rPr>
        <w:t xml:space="preserve">2. </w:t>
      </w:r>
      <w:r>
        <w:rPr>
          <w:rFonts w:ascii="Calibri" w:hAnsi="Calibri"/>
          <w:b w:val="0"/>
          <w:color w:val="3A4A28"/>
          <w:sz w:val="20"/>
        </w:rPr>
        <w:t>37% structural leverage amplifies losses in credit market downturns — a recession driving leveraged loan defaults above 5% could trigger significant NAV destruction</w:t>
      </w:r>
    </w:p>
    <w:p>
      <w:pPr>
        <w:spacing w:before="40" w:after="40"/>
        <w:ind w:left="283"/>
      </w:pPr>
      <w:r>
        <w:rPr>
          <w:rFonts w:ascii="Calibri" w:hAnsi="Calibri"/>
          <w:b/>
          <w:color w:val="4A6B25"/>
          <w:sz w:val="20"/>
        </w:rPr>
        <w:t xml:space="preserve">3. </w:t>
      </w:r>
      <w:r>
        <w:rPr>
          <w:rFonts w:ascii="Calibri" w:hAnsi="Calibri"/>
          <w:b w:val="0"/>
          <w:color w:val="3A4A28"/>
          <w:sz w:val="20"/>
        </w:rPr>
        <w:t>Secular shift from actively managed CEFs to low-cost ETFs (BKLN: 0.65% expense ratio vs JFR: 1.99%) threatens long-term relevance of the high-fee closed-end fund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JFR's underlying assets — senior secured floating rate corporate loans — have contractual cash flows that AI cannot directly displace [1]. The credit risk and interest rate dynamics that drive fund returns are macroeconomic factors beyond AI's influence. However, the fund management industry faces structural pressure from AI-driven automation: AI-powered credit analysis could reduce the value of active management, lower fee structures across the industry, and accelerate the shift from actively managed CEFs to lower-cost ETF alternatives [2]. Nuveen's 1.99% expense ratio is high relative to emerging AI-managed loan fund alternatives. The leveraged CEF structure itself faces existential questions as passive vehicles gain market share. AI Opportunity (0/1): No AI-powered investment products or services generating revenue. The fund is a traditional actively managed vehicle with no disclosed AI integration in its investment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Nuveen Floating Rate Income Fund Prospectus and Fund Profile — nuveen.com,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CEF Connect — JFR Fund Summary and Portfolio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Nuveen Floating Rate Income Fund Semi-Annual Report (Form N-CSRS) — SEC Filing, January 31,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JFR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