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JNJ</w:t>
      </w:r>
      <w:r>
        <w:rPr>
          <w:rFonts w:ascii="Calibri" w:hAnsi="Calibri"/>
          <w:b/>
          <w:color w:val="1A2010"/>
          <w:sz w:val="40"/>
        </w:rPr>
        <w:t xml:space="preserve">  Johnson &amp; Johnson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2026-08-17 · Inspire: -93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General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Johnson &amp; Johnson is a global healthcare company operating through two segments: Innovative Medicine (pharmaceuticals) and MedTech (medical devices). Founded in 1886 with 140 years of history, the company is on track to exceed $100 billion in annual revenue for the first time in 2026, driven by a portfolio spanning oncology, immunology, neuroscience, cardiovascular, and surgical robotics products.</w:t>
      </w:r>
    </w:p>
    <w:p>
      <w:r>
        <w:rPr>
          <w:rFonts w:ascii="Calibri" w:hAnsi="Calibri"/>
          <w:b/>
          <w:color w:val="6E8450"/>
          <w:sz w:val="18"/>
        </w:rPr>
        <w:t>138,200 Employees · https://www.jnj.com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J&amp;J reported Q2 2026 revenue of $25.3B (+6.6% YoY) and raised full-year 2026 guidance to $101.1B, on track to surpass $100B in annual revenue for the first time in its 140-year history [1]. The Kenvue consumer health spinoff (2023) and $30B+ cardiovascular M&amp;A spree — Abiomed ($16.6B, 2022) and Shockwave Medical ($13.1B, 2024) — fundamentally transformed the portfolio. DARZALEX exceeds $14B in annual sales, and CARVYKTI is the leading CAR-T therapy [1]. AI Deployment (1/2): CIO James Swanson narrowed generative AI projects to a focused set of high-impact use cases in 2025 after three years of GenAI pilots [2]. OTTAVA surgical robot uses NVIDIA digital twins for AI-enhanced surgery, and 6,000+ AI specialists drive drug discovery and clinical trial optimization. However, no quantified AI-specific revenue or cost savings are reported. Market Share (2/2): DARZALEX dominates multiple myeloma with $14B+ annual sales, CARVYKTI is the leading CAR-T therapy, and J&amp;J holds leadership positions in orthopedics, surgical robotics, and cardiovascular MedTech across six strategic platforms [1]. Product Pipeline (1/2): OTTAVA surgical robot is under FDA de novo review, MONARCH urology platform launched in 2026, and dozens of late-stage pharmaceutical candidates are advancing — CEO Duato's $30B+ cardiovascular M&amp;A has rebuilt the pipeline [1][2]. However, Stelara biosimilar competition continues to erode that franchise's revenue. R&amp;D Intensity (1/1): R&amp;D spending of approximately $15B annually (~16% of pharmaceutical revenue) ranks among the highest in healthcare, consistent with Duato's emphasis on innovation-led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J&amp;J's Credo, written by Robert Wood Johnson in 1943 before the IPO, prioritizes patients/doctors/nurses first, then employees, then communities, then shareholders [2]. CEO Joaquin Duato — a 35-year J&amp;J veteran — has described his leadership philosophy as 'putting people first and nurturing a culture in which people feel cared about with a clear purpose,' directly grounding strategy in the Credo. It has survived multiple CEO transitions, the Tylenol crisis, talc litigation, and the Kenvue spinoff, clearly shaping behavior over 80+ years. Community Impact (2/2): J&amp;J's global health initiatives, essential medicines access programs, and COVID-19 vaccine development at cost demonstrate community commitment at scale. CEO Duato has publicly championed 'America's biopharmaceutical innovation advantage' as essential for global health [2]. Employee Retention (1/2): J&amp;J's culture is described as having 'supportive teams, mentorship, and approachable leadership that encourages collaboration' with a welcoming, non-toxic environment [2]. CEO Duato's 35-year career entirely at J&amp;J exemplifies long tenure. However, no specific turnover metrics are publicly reported. Insider Buying (1/2): Share repurchases and 64 consecutive years of dividend increases signal board confidence, but specific meaningful insider buying by executives was not identified in recent filings.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stock. D/E of 58% is well below the 70% target (score 1.0), ROE of 25.74% far exceeds the 15% target (score 1.0), and profit margin of 21.48% exceeds the 20% target (score 1.0) [4]. Forward P/E of 23.18 — higher than the prior 17.96 as the stock rallied 49% over 52 weeks — scores 0.92 against the 20 target. Revenue grew 6.6% YoY in Q2 2026 (score 0.89) with an estimated 5-year CAGR of ~6% (score 0.73) [1]. As a Dividend King with 64 consecutive years of increases, J&amp;J earns maximum scores on years paid and years growth (both 1.0, with years paid at 2× weight). Payout ratio of 62.13% scores 0.63 against the 40% target, and estimated 5-year dividend growth CAGR of ~5% scores 0.83 at 2× weight. Daily dollar volume of ~$1.81B provides best-in-class liquidity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J&amp;J's 140-year history, the Credo's stakeholder-first philosophy written before the 1944 IPO, 64 consecutive years of dividend increases, and transformative portfolio reshaping through the Kenvue spinoff and $30B+ cardiovascular M&amp;A demonstrate one of the most authentic infinite-game cultures in corporate America. CEO Duato's 35-year tenure and Credo-grounded leadership philosophy maintain continuity of purpose through strategic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The J&amp;J Credo, written in 1943 before the IPO, places patients first and shareholders last [2]. CEO Duato — a 35-year J&amp;J veteran — has internalized this purpose, publicly stating his role is 'putting people first and nurturing a culture in which people feel cared about with a clear purpose.' The Credo has survived the Tylenol crisis, talc litigation, and the Kenvue spinoff. Strategic decisions — $15B annual R&amp;D, the Kenvue spinoff to sharpen healthcare focus, the $5.5B talc settlement to resolve lingering liability — trace back to this purpose. The just cause IS the competitive advantage through 140 years of execution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J&amp;J's decentralized structure enables local empowerment and decision-making across its global operations [2]. The company culture is described as featuring 'supportive teams, mentorship, and approachable leadership that encourages collaboration.' CEO Duato's 35-year career entirely at J&amp;J and emphasis on people-first leadership support a trust-oriented culture. However, the 138,200-person organization is large enough that trust varies significantly across units, and no specific retention metrics distinguish J&amp;J from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J&amp;J competes against Pfizer, Roche, Merck, Abbott, and Intuitive Surgical across its portfolio and consistently frames competition in terms of innovation and patient outcomes rather than market share destruction [1]. The company's response to competitive threats — investing $13.1B in Shockwave to strengthen cardiovascular MedTech rather than attacking competitors directly — reflects an infinite competitive mindset focused on capability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Kenvue consumer health spinoff voluntarily separated a beloved, profitable business (Band-Aid, Tylenol, Neutrogena) that defined J&amp;J's public identity for decades, in order to sharpen focus on higher-growth pharmaceutical and MedTech categories [1]. CEO Duato's $30B+ cardiovascular M&amp;A spree (Abiomed $16.6B, Shockwave $13.1B) simultaneously rebuilt the MedTech portfolio. The company is now on track to exceed $100B revenue for the first time — a direct result of this transformative strategic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Investing $15B+ annually in R&amp;D, pursuing transformative surgical robotics (OTTAVA), and agreeing to the $5.5B talc settlement to definitively resolve 76,000 lawsuits after years of contested bankruptcy proceedings show willingness to absorb near-term costs for long-term clarity [1][3]. CEO Duato raised 2026 guidance above consensus multiple times, signaling confidence. However, the talc litigation approach — years of subsidiary bankruptcy attempts before direct settlement — was contested, and J&amp;J's $20B+ annual FCF means these investments carry less relative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Johnson &amp; Johnson is executing a historic growth trajectory — Q2 2026 revenue of $25.3B (+6.6% YoY) with full-year guidance raised to $101.1B, on track to surpass $100B in annual revenue for the first time in its 140-year history [1]. At a forward P/E of 23.18x, the stock has re-rated significantly (52-week performance +49.27%), reflecting the market's recognition of J&amp;J's post-Kenvue transformation into a pure-play healthcare growth company. ROE of 25.74%, profit margin of 21.48%, $22.2B in FCF, and 64 consecutive years of dividend increases underscore financial durability. DARZALEX ($14B+), CARVYKTI, and the OTTAVA surgical robot pipeline provide multi-year growth visibility, while the July 2026 $5.5B talc settlement resolves a decade-long litigation overhang covering 99.75% of claims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expansion, patent cliffs, and decelerating growth. The stock's 49% rally over 52 weeks has pushed the trailing P/E to 30.18x and forward P/E to 23.18x — meaningfully above the prior 17.96x — and the PEG ratio of 2.85 suggests the market has priced in substantial growth expectations [4]. Revenue growth decelerated from 9.9% in Q1 to 6.6% in Q2 2026, and Stelara biosimilar competition continues to pressure the pharmaceutical portfolio with an estimated $3-4B annual revenue headwind. The 62.13% payout ratio and 5% 5-year dividend growth CAGR are below ideal targets for a Dividend King. The $5.5B talc settlement, while resolving 76,000 lawsuits, requires 95% claimant acceptance to finalize, and future talc-related claims remain a tail risk [3]. At $260 per share, any OTTAVA FDA delay or pharmaceutical pipeline setback could trigger multiple compression from elevated levels.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First $100B revenue year in 2026 with guidance raised to $101.1B validates the post-Kenvue transformation strategy and J&amp;J's emergence as a healthcare-focused growth company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OTTAVA surgical robot FDA clearance and U.S. launch creating a multi-billion dollar addressable market in robotic-assisted surgery, competing with Intuitive Surgical's da Vinci platform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$5.5B talc settlement covering 99.75% of 76,000 lawsuits removes the most significant litigation overhang in J&amp;J's history, potentially unlocking further valuation re-rating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Stelara biosimilar erosion reducing revenue by $3-4B annually creates a headwind that pharmaceutical pipeline growth must overcome to sustain mid-single-digit organic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expansion from 17.96x to 23.18x (52-week stock rally of +49%) increases vulnerability to multiple contraction if growth decelerates further from Q2's 6.6% or OTTAVA/pipeline launches disappoint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Talc settlement finalization requires 95% claimant acceptance — failure to reach this threshold could reopen litigation uncertainty, and future talc-related claims represent a tail risk despite the $5.5B agreement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J&amp;J's core businesses — pharmaceutical manufacturing, surgical devices, and medical technology — require physical production, clinical expertise, FDA regulatory approval, and years-long clinical trial processes that AI cannot displace [2]. Drug discovery benefits from AI rather than being threatened by it. However, AI democratizes target identification and clinical trial design, giving smaller biotechs relative capability gains that erode J&amp;J's scale premium in early-stage R&amp;D. CIO Swanson's decision to narrow GenAI to focused high-impact use cases after 3 years of pilots reflects a mature recognition that AI is an operational tool, not a strategic threat [2]. In MedTech, AI-driven surgical robotics from Intuitive Surgical pose competitive pressure, but OTTAVA with NVIDIA digital twins positions J&amp;J on the AI-enabled side of that competition. AI Opportunity (1/1): J&amp;J is a meaningful deployer of healthcare AI — OTTAVA surgical robot with NVIDIA digital twins, 6,000+ AI specialists driving drug discovery and clinical trial optimization, and AI-guided endoscopy through recent acquisitions demonstrate substantial AI-generated value creation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Johnson &amp; Johnson Q2 2026 Results and Updated 2026 Guidance — jnj.com, Investing.com, Yahoo Finance,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Johnson &amp; Johnson CEO Leadership, AI Strategy, and Culture — Conference Board, DigitalDefynd, Fortune, WSJ Leadership Institute,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Johnson &amp; Johnson $5.5B Talc Settlement — Washington Post, Al Jazeera, DrugWatch, July-August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JNJ Key Statistics and Financial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