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KC</w:t>
      </w:r>
      <w:r>
        <w:rPr>
          <w:rFonts w:ascii="Calibri" w:hAnsi="Calibri"/>
          <w:b/>
          <w:color w:val="1A2010"/>
          <w:sz w:val="40"/>
        </w:rPr>
        <w:t xml:space="preserve">  Kingsoft Cloud Holdings Limited</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NASDAQ · China</w:t>
      </w:r>
    </w:p>
    <w:p>
      <w:pPr>
        <w:spacing w:after="80"/>
      </w:pPr>
      <w:r>
        <w:rPr>
          <w:rFonts w:ascii="Calibri" w:hAnsi="Calibri"/>
          <w:b w:val="0"/>
          <w:color w:val="3A4A28"/>
          <w:sz w:val="20"/>
        </w:rPr>
        <w:t>Kingsoft Cloud Holdings provides cloud computing services in China, including public cloud (compute, storage, delivery), enterprise cloud, and AI cloud services. A subsidiary of Kingsoft Corporation with strategic backing from Xiaomi founder Lei Jun, the company serves gaming, video, public services, healthcare, and financial services industries. AI cloud has become the primary revenue driver, accounting for over half of public cloud revenue as of Q1 2026.</w:t>
      </w:r>
    </w:p>
    <w:p>
      <w:r>
        <w:rPr>
          <w:rFonts w:ascii="Calibri" w:hAnsi="Calibri"/>
          <w:b/>
          <w:color w:val="6E8450"/>
          <w:sz w:val="18"/>
        </w:rPr>
        <w:t>15,200 Employees · https://www.ksyun.com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Kingsoft Cloud executed a significant strategic pivot from traditional cloud hosting to AI cloud services, with AI cloud revenue reaching RMB 998M in Q1 2026 — surpassing 50% of public cloud revenue for the first time and growing 91% YoY [1]. This represents genuine business model transformation, opening a major new revenue stream. AI Deployment (2/2): AI cloud is a core revenue line — RMB 998M in Q1 2026 with 91% YoY growth and 90.1% growth in AI cloud gross billings, clearly meeting the threshold for shipping AI products with measurable results [1]. Market Share (1/2): KC is a mid-tier player in China's cloud market behind Alibaba Cloud, Tencent Cloud, Huawei Cloud, and Baidu AI Cloud; however, ecosystem revenue from Xiaomi and Kingsoft grew 68.9% YoY, demonstrating captive demand within the Lei Jun ecosystem [1]. Product Pipeline (1/2): Management discussed continued AI cloud expansion and infrastructure investment on the Q1 2026 call, but specific next-generation product names and launch timelines were not detailed beyond general AI infrastructure buildout [1]. R&amp;D Intensity (0/1): No specific R&amp;D spending data as a percentage of revenue was identified in available filings to benchmark against Chinese cloud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Kingsoft Cloud's stated purpose centers on providing 'reliable, secure, and high-quality cloud computing services' — generic and interchangeable with any peer cloud provider globally [4]. No deeper purpose or transformative vision is articulated beyond operational delivery. Community Impact (1/2): The company publishes annual ESG reports and launched the 'CLOUD' sustainable development strategy covering Corporate Governance, Labor Cultivating, Operational Excellence, Unified Eco-Creation, and Digital Innovation; named to S&amp;P Global's Sustainability Yearbook (China Edition) in 2023 [4]. These represent standard corporate ESG programs without distinctive community investment. Employee Retention (0/2): No publicly available data on employee tenure, voluntary turnover, or mission-driven retention for Kingsoft Cloud's 15,200 employees; parent Kingsoft's Glassdoor rating of 3.0/5.0 with 35% CEO approval suggests below-average satisfaction [2]. Insider Buying (0/2): No evidence of meaningful net insider buying by executives in the trailing 12 months; Zou Tao became chairman in March 2026 but no insider purchase data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total revenue of RMB 2.7B grew 37.2% YoY with adjusted EBITDA of RMB 748M (27.6% margin, up 11.4pp YoY), demonstrating rapid top-line acceleration and improving unit economics [1]. However, the company remains unprofitable on a net income basis with TTM losses of ~$134M and negative ROE of -12.7%, earning zero on all profitability metrics [3]. D/E of 78% is near the 70% target (score ~0.97). Profit margin is negative at approximately -9.8%, scoring zero. Forward P/E and PEG are not applicable due to net losses. The strong 37.2% YoY revenue growth scores 1.0. Available metrics weighted sum: D/E 0.97×1 + ROE 0×2 + RevGrowthYoY 1.0×1 + ProfitMargin 0×1 = 1.97 / 5 × 10 = 3.9, rounded to 4. Liquidity check: ~1.46M shares × $10.06 = ~$14.7M, above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Kingsoft Cloud operates with a primarily finite mindset focused on quarterly growth metrics and competitive positioning in China's cloud market. The AI cloud pivot demonstrates tactical flexibility but appears driven by market opportunity rather than a deeper purpose. The company's identity is tied to the Kingsoft/Xiaomi ecosystem rather than an independent just cause, and leadership commentary centers on revenue growth rates and margin improvement rather than long-term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Kingsoft Cloud's purpose amounts to providing cloud computing services — a functional description rather than an aspirational vision of a future worth building toward [4]. The company's strategic narrative revolves around capturing AI cloud market share and growing ecosystem revenue, which are business objectives rather than a cause that invites sacrifice. While the Kingsoft Group heritage (founded 1988) provides institutional longevity, Kingsoft Cloud (founded 2012) has not articulated a just cause that transcends its commercial activities.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Parent Kingsoft's Glassdoor rating of 3.0/5.0 with 35% CEO approval suggests below-average employee satisfaction [2]. CEO turnover — acting CEO Zou Tao appointed in 2022, with multiple leadership changes since IPO — indicates organizational instability. The competitive Chinese tech labor market creates high turnover pressure, and no evidence of exceptional team culture, psychological safety, or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Kingsoft Cloud competes against Alibaba Cloud, Tencent Cloud, and Huawei Cloud but shows no evidence of an infinite competitive mindset [1]. Management commentary focuses on growth rates and market capture rather than learning from competitors' strengths. The strategy centers on exploiting niches where hyperscalers are less focused rather than acknowledging rival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cloud hosting to AI cloud — with AI now exceeding 50% of public cloud revenue and growing 91% YoY — demonstrates meaningful business model evolution [1]. This shift required significant capital investment in GPU infrastructure and AI capabilities. However, the pivot was incremental (cloud to AI-cloud) rather than transformative, and followed industry trends rather than leading them.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aggressively in AI infrastructure despite ongoing losses, accepting margin compression as adjusted gross margin fell from 70% to 30% in Q1 2026 due to GPU server costs and upfront investment for future revenue [1]. This willingness to sacrifice near-term margins for long-term AI positioning shows some courage, though the investment follows the obvious market direction rather than taking a contrarian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Kingsoft Cloud is executing a rapid pivot to AI cloud infrastructure, with AI revenue of RMB 998M in Q1 2026 growing 91% YoY and surpassing 50% of public cloud revenue for the first time [1]. Total revenue grew 37.2% YoY to RMB 2.7B, while adjusted EBITDA surged 134.7% to RMB 748M (27.6% margin), demonstrating improving unit economics as AI scale builds. The captive Xiaomi/Kingsoft ecosystem (68.9% ecosystem revenue growth) provides a built-in customer base that reduces go-to-market friction [1]. At ~$3.5B market cap with 37%+ growth, the valuation is modest for a Chinese AI infrastructure play if profitability materializes.</w:t>
      </w:r>
    </w:p>
    <w:p>
      <w:pPr>
        <w:spacing w:after="120"/>
      </w:pPr>
      <w:r>
        <w:rPr>
          <w:rFonts w:ascii="Calibri" w:hAnsi="Calibri"/>
          <w:b w:val="0"/>
          <w:color w:val="3A4A28"/>
          <w:sz w:val="20"/>
        </w:rPr>
        <w:t>The bear case is substantial: TTM net losses of ~$134M and negative ROE of -12.7% indicate KC has not achieved sustained GAAP profitability [3]. Adjusted gross margin compressed from 70% to 30% in Q1 2026 due to GPU server costs, raising questions about long-term margin sustainability as AI cloud scales [1]. Competition from Alibaba Cloud, Tencent Cloud, and Huawei Cloud — each with 10-50x greater scale, GPU procurement capacity, and financial resources — creates persistent pricing pressure. As a Chinese ADR on NASDAQ, KC faces VIE structure risk, potential delisting concerns under HFCAA, and US semiconductor export controls that could constrain GPU access critical for AI cloud expansion. The stock has declined from $16+ to ~$10 in 2026, suggesting the market is discounting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trajectory toward RMB 4-5B annualized as AI workloads scale across Xiaomi ecosystem (EVs, smart devices) and enterprise customers, with 91% YoY growth momentum</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AI cloud margins normalize — adjusted EBITDA margin improvement of 11.4pp YoY to 27.6% suggests operating leverage is building</w:t>
      </w:r>
    </w:p>
    <w:p>
      <w:pPr>
        <w:spacing w:before="40" w:after="40"/>
        <w:ind w:left="283"/>
      </w:pPr>
      <w:r>
        <w:rPr>
          <w:rFonts w:ascii="Calibri" w:hAnsi="Calibri"/>
          <w:b/>
          <w:color w:val="4A6B25"/>
          <w:sz w:val="20"/>
        </w:rPr>
        <w:t xml:space="preserve">3. </w:t>
      </w:r>
      <w:r>
        <w:rPr>
          <w:rFonts w:ascii="Calibri" w:hAnsi="Calibri"/>
          <w:b w:val="0"/>
          <w:color w:val="3A4A28"/>
          <w:sz w:val="20"/>
        </w:rPr>
        <w:t>China's AI sovereignty policies favoring domestic cloud providers over foreign alternatives, creating a protected addressable market for KC's AI infrastructure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with ~$134M TTM deficit and negative ROE; the company has never achieved sustained GAAP profitability, and AI infrastructure capex may delay breakeven further</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70% to 30% in Q1 2026 reflects the capital-intensive reality of AI cloud infrastructure, with uncertain long-term margin structure as GPU costs remain elevated</w:t>
      </w:r>
    </w:p>
    <w:p>
      <w:pPr>
        <w:spacing w:before="40" w:after="40"/>
        <w:ind w:left="283"/>
      </w:pPr>
      <w:r>
        <w:rPr>
          <w:rFonts w:ascii="Calibri" w:hAnsi="Calibri"/>
          <w:b/>
          <w:color w:val="4A6B25"/>
          <w:sz w:val="20"/>
        </w:rPr>
        <w:t xml:space="preserve">3. </w:t>
      </w:r>
      <w:r>
        <w:rPr>
          <w:rFonts w:ascii="Calibri" w:hAnsi="Calibri"/>
          <w:b w:val="0"/>
          <w:color w:val="3A4A28"/>
          <w:sz w:val="20"/>
        </w:rPr>
        <w:t>Chinese ADR delisting risk under HFCAA, VIE structure vulnerability, and US semiconductor export controls could constrain GPU access critical for AI cloud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Kingsoft Cloud is fundamentally an AI infrastructure provider — AI cloud revenue of RMB 998M in Q1 2026 grew 91% YoY and now constitutes over half of public cloud revenue [1]. Cloud providers broadly benefit from AI adoption through increased compute demand, GPU-as-a-service, and model training/inference workloads. The physical infrastructure (data centers, networking, server hardware) and regulated operating environment in China create structural barriers that AI cannot substitute. However, KC is a mid-tier player competing against Alibaba Cloud, Tencent Cloud, and Huawei Cloud with substantially greater GPU procurement capacity and AI model ecosystems, limiting the score below IMMUNE [1]. AI Opportunity (1/1): RMB 998M in AI cloud revenue in Q1 2026 alone, growing 91% YoY, with AI gross billings exceeding 50% of public cloud for the first time — unambiguous, quantifiable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Kingsoft Cloud Q1 2026 Earnings Call and Results — RMB 2.7B revenue (37.2% YoY), AI revenue RMB 998M (91% YoY), Motley Fool / GuruFocus, May 29, 2026</w:t>
      </w:r>
    </w:p>
    <w:p>
      <w:pPr>
        <w:spacing w:before="20" w:after="20"/>
        <w:ind w:left="170"/>
      </w:pPr>
      <w:r>
        <w:rPr>
          <w:rFonts w:ascii="Calibri" w:hAnsi="Calibri"/>
          <w:b/>
          <w:color w:val="4A6B25"/>
          <w:sz w:val="15"/>
        </w:rPr>
        <w:t xml:space="preserve">2. </w:t>
      </w:r>
      <w:r>
        <w:rPr>
          <w:rFonts w:ascii="Calibri" w:hAnsi="Calibri"/>
          <w:b w:val="0"/>
          <w:color w:val="3A4A28"/>
          <w:sz w:val="17"/>
        </w:rPr>
        <w:t>Kingsoft Cloud Leadership and Corporate Governance — CEO Zou Tao, Glassdoor ratings, Craft.co / Kingsoft IR,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KC Key Statistics, Balance Sheet (D/E 78%, ROE -12.7%, Market Cap ~$3.5B),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Kingsoft Cloud 2025 Annual Report and ESG Report — CLOUD sustainability strategy, HKEX / PR Newswire,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