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KKR</w:t>
      </w:r>
      <w:r>
        <w:rPr>
          <w:rFonts w:ascii="Calibri" w:hAnsi="Calibri"/>
          <w:b/>
          <w:color w:val="1A2010"/>
          <w:sz w:val="40"/>
        </w:rPr>
        <w:t xml:space="preserve">  KKR &amp; Co. Inc.</w:t>
      </w:r>
    </w:p>
    <w:p>
      <w:pPr>
        <w:spacing w:after="120"/>
      </w:pPr>
      <w:r>
        <w:rPr>
          <w:rFonts w:ascii="Calibri" w:hAnsi="Calibri"/>
          <w:b/>
          <w:color w:val="6E8450"/>
          <w:sz w:val="18"/>
        </w:rPr>
        <w:t>GROWTH SLEEVE · 2026-08-23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KKR is a leading global investment firm managing approximately $796B in assets across private equity, credit, real assets, infrastructure, and insurance (via Global Atlantic). Founded in 1976, the firm is led by co-CEOs Scott Nuttall and Joe Bae. KKR reported record Q2 2026 results with revenue of $5.73B, adjusted net income per share of $1.63 (+38% YoY), and fee-related earnings per share of $1.32 (+34% YoY) with a 70% FRE margin. In June 2026, KKR launched Helix Digital Infrastructure with NVIDIA, Kuwait Investment Authority, and Vistra, committing $10B+ to AI data center and power infrastructure. The firm raised a record $19.2B infrastructure fund in 2026.</w:t>
      </w:r>
    </w:p>
    <w:p>
      <w:r>
        <w:rPr>
          <w:rFonts w:ascii="Calibri" w:hAnsi="Calibri"/>
          <w:b/>
          <w:color w:val="6E8450"/>
          <w:sz w:val="18"/>
        </w:rPr>
        <w:t>5,043 Employees · https://www.kkr.com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KKR has transformed from a traditional leveraged buyout firm into a $796B diversified alternative asset manager, with AUM up 16% YoY in Q2 2026 [1]. The full consolidation of Global Atlantic Insurance added $160B+ in permanent capital, fundamentally changing the firm's earnings profile. The $42B equity commitment across 23 digital infrastructure investments with 155+ data center facilities and a 15GW development pipeline represents a bold, successful transformation. KKR joined the S&amp;P 500 in 2024. AI Deployment (1/2): KKR launched Helix Digital Infrastructure in June 2026 with NVIDIA as a founding investor, committing $10B+ to AI data center and power assets [2]. The firm hired former AWS CEO Adam Selipsky as Senior Technology and AI Strategy Advisor and uses Palantir-based analytics for deal sourcing. However, Glassdoor reviews describe internal AI tools as underdeveloped, and no specific AI-driven cost savings have been publicly quantified. Market Share (2/2): KKR is a top-5 global alternative asset manager by AUM ($796B), with leadership positions in infrastructure (&gt;$100B managed) and a growing franchise in AI-themed digital infrastructure through the $50B CyrusOne partnership and Helix Digital [1][2]. Product Pipeline (1/2): Helix Digital Infrastructure ($10B+ committed, launched June 2026) and the $19.2B Infrastructure Fund V provide specific deployment visibility across data centers, fiber, power, and logistics [2]. The $2B European data center commitment with Oak Hill Capital adds geographic diversification. R&amp;D Intensity (0/1): Not applicable to financial services; no traditional R&amp;D spend, though the firm invests in technology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KKR positions itself around investing and operating for long-term value creation with emphasis on stakeholder capitalism and operational improvement. The firm's 50-year heritage of transforming companies through hands-on management is a genuine purpose, though it is primarily financial rather than mission-driven — 'creating long-term value for fund investors, portfolio companies, and communities' is clear but interchangeable with peer alternative asset managers [3]. Community Impact (1/2): KKR reports $45B+ in sustainability-focused investments since 2010 and became a UN PRI signatory in 2009 [3]. However, critics highlight fossil fuel investments including a large-scale LNG export terminal in Port Arthur, Texas opposed by environmental justice advocates and a Coastal GasLink Pipeline project contested by Wet'suwet'en hereditary chiefs, resulting in an MSCI ESG rating of BB [3]. Employee Retention (1/2): Co-CEO Nuttall has specifically prioritized culture preservation, declining platform acquisitions to avoid compromising KKR's cooperative culture. The firm's 50-year longevity signals institutional stability. However, Glassdoor reviews reveal significant dysfunction in the technology division, describing a 'toxic culture shift under new tech leadership' with complaints about bureaucracy, political favoritism, and low morale. Insider Buying (2/2): Extraordinary insider buying of approximately $46M in February-March 2026 — co-CEOs Bae ($17.2M) and Nuttall ($17.2M) each purchased shares, along with Directors Barakett ($9.7M), Dillon ($2.0M), and Cohler ($4.5M), representing one of the strongest insider conviction signals in the market.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KKR demonstrates attractive valuation with Forward P/E of 16.18x (below the 20x target) and PEG of 0.78 (well below the 1.0 target), reflecting the market's expectation of 20%+ earnings growth driven by fee-related earnings expansion and carried interest realization [1][4]. D/E of 70% sits right at the target, reflecting disciplined leverage management. Revenue grew 12.6% YoY in Q2 2026 ($5.73B vs $5.09B), exceeding the 10% target [1]. The primary drags are ROE of 7.28% — well below the 15% target due to the large equity base from Global Atlantic consolidation — and profit margin of 12.20% (below 20% target), reflecting KKR's asset-heavy insurance operations diluting the higher-margin management company (~27% operating margin). Revenue 5yr CAGR is excluded due to extreme accounting volatility from insurance consolidation. The stock clears the liquidity floor with ~$558M in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KKR is a 50-year institution that shows elements of infinite game thinking — extraordinary insider conviction ($46M purchased during the stock decline), deliberate culture preservation, and patient multi-decade transformation from LBO shop to diversified alternatives platform. However, the fundamental purpose remains generating investment returns rather than a Sinek-style Just Cause, and cultural challenges in the technology division suggest organizational trust is unevenly distributed. The firm earns strong marks for courage and strategic evolution but falls short of a truly infinite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KKR's implicit purpose — building an enduring investment institution that creates value through operational transformation of companies and critical infrastructure — is genuine and has been partially validated by 50 years of execution through multiple market cycles, the 1989 RJR Nabisco backlash, the 2008 financial crisis, and the successful co-CEO succession from Kravis/Roberts to Bae/Nuttall [1]. However, the core purpose of deploying capital for returns is ultimately financial rather than idealistic — Sinek would distinguish between a successful business model and a Just Cause that inspires people to sacrifice in its service.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KKR's deal teams maintain a stable, collaborative culture among investment professionals — co-CEO Nuttall has specifically declined acquisitions to avoid cultural dilution, and the firm's 50-year longevity with a co-CEO model demonstrates institutional trust over ego-driven leadership. However, Glassdoor reviews from the technology division describe a 'toxic culture shift under new tech leadership' with bureaucratic politics, favoritism, and low morale. The contrast between the collaborative investment culture and the struggling technology organization suggests trust is unevenly distributed across the firm.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KKR's competitive language is predominantly focused on AUM rankings relative to Blackstone and Apollo, market share gains in alternatives, and winning institutional mandates. Investor presentations emphasize being 'the fastest-growing' large-cap alternative asset manager and targeting $1T AUM. While the firm differentiates its AI infrastructure strategy from competitors, the framing centers on competitive advantage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KKR has meaningfully evolved from pure leveraged buyouts (1976) to a diversified $796B alternatives platform spanning PE, credit, infrastructure, real estate, and insurance [1]. The Global Atlantic acquisition and the AI infrastructure pivot ($42B committed, Helix Digital with NVIDIA) represent significant strategic evolution [2]. However, each extension builds on the same core capital deployment model — KKR has always raised capital and invested it, expanding across asset classes incrementally rather than making a transformative leap that abandoned a profitable core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Both co-CEOs purchased $17.2M each in KKR shares in February-March 2026 as the stock declined from $150+ to the $80s — a combined $46M insider buying signal representing extraordinary personal conviction during market adversity. Nuttall's willingness to pass on acquisitions to protect KKR's cooperative culture, the bold $42B commitment to digital infrastructure before the AI thesis was consensus, and the $10B+ Helix Digital launch with NVIDIA all demonstrate a pattern of choosing long-term capability over short-term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KKR at 16.18x forward earnings with a PEG of 0.78 offers one of the most attractive valuations in large-cap alternatives, pricing in only modest upside from a platform generating record results — Q2 2026 adjusted net income per share of $1.63 (+38% YoY), fee-related earnings per share of $1.32 (+34%), AUM of $796B (+16% YoY), and a 70% FRE margin [1]. The firm's strategic positioning in AI infrastructure ($10B+ Helix Digital with NVIDIA, $50B CyrusOne partnership, $19.2B record infrastructure fund) creates a differentiated growth engine as global AI capex accelerates [2]. The $46M in insider buying by both co-CEOs and three directors in early 2026 provides extraordinary conviction backing. Global Atlantic's permanent capital base provides stable insurance-linked earnings, and the target of $1T AUM by 2030 offers clear growth visibility.</w:t>
      </w:r>
    </w:p>
    <w:p>
      <w:pPr>
        <w:spacing w:after="120"/>
      </w:pPr>
      <w:r>
        <w:rPr>
          <w:rFonts w:ascii="Calibri" w:hAnsi="Calibri"/>
          <w:b w:val="0"/>
          <w:color w:val="3A4A28"/>
          <w:sz w:val="20"/>
        </w:rPr>
        <w:t>The bear case centers on earnings quality, cultural execution, and macro sensitivity. KKR's ROE of 7.28% and profit margin of 12.20% are well below targets, reflecting the asset-heavy Global Atlantic insurance balance sheet diluting the higher-margin management company [4]. Revenue and carried interest are inherently volatile — Q2 2026 revenue of $5.73B is strong but quarter-to-quarter swings from mark-to-market movements and lumpy realizations make earnings difficult to predict. Glassdoor reviews describing 'toxic culture shift' in the technology division raise concerns about KKR's ability to build the digital capabilities needed for a technology-driven future. ESG credibility risk is material — KKR's stated ESG commitments conflict with investments in the Port Arthur LNG terminal and Coastal GasLink Pipeline, resulting in an MSCI ESG rating of only BB [3]. The Inspire Impact Score of -53 (MISALIGNED) limits faith-based investor demand. A broader market downturn or private credit deterioration would compress both management fees (via AUM declines) and carried interest (via lower realizations), amplified by the 70% D/E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Helix Digital Infrastructure deployment of $10B+ in AI data center and power assets with NVIDIA, Kuwait Investment Authority, and Vistra — early mover advantage in financing the multi-hundred-billion-dollar AI infrastructure buildout [2]</w:t>
      </w:r>
    </w:p>
    <w:p>
      <w:pPr>
        <w:spacing w:before="40" w:after="40"/>
        <w:ind w:left="283"/>
      </w:pPr>
      <w:r>
        <w:rPr>
          <w:rFonts w:ascii="Calibri" w:hAnsi="Calibri"/>
          <w:b/>
          <w:color w:val="4A6B25"/>
          <w:sz w:val="20"/>
        </w:rPr>
        <w:t xml:space="preserve">2. </w:t>
      </w:r>
      <w:r>
        <w:rPr>
          <w:rFonts w:ascii="Calibri" w:hAnsi="Calibri"/>
          <w:b w:val="0"/>
          <w:color w:val="3A4A28"/>
          <w:sz w:val="20"/>
        </w:rPr>
        <w:t>Fee-related earnings trajectory growing 34% YoY with a 70% FRE margin as AUM scales toward $1T by 2030, providing operating leverage and earnings visibility beyond volatile carried interest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potential at 16.18x forward P/E with PEG of 0.78 and 38% adjusted EPS growth — significant discount to peers despite record operating performance and $46M insider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Atlantic insurance balance sheet introduces credit and interest rate sensitivity that compresses GAAP ROE to 7.28% and profit margin to 12.20%, and could generate material mark-to-market losses in a recession [4]</w:t>
      </w:r>
    </w:p>
    <w:p>
      <w:pPr>
        <w:spacing w:before="40" w:after="40"/>
        <w:ind w:left="283"/>
      </w:pPr>
      <w:r>
        <w:rPr>
          <w:rFonts w:ascii="Calibri" w:hAnsi="Calibri"/>
          <w:b/>
          <w:color w:val="4A6B25"/>
          <w:sz w:val="20"/>
        </w:rPr>
        <w:t xml:space="preserve">2. </w:t>
      </w:r>
      <w:r>
        <w:rPr>
          <w:rFonts w:ascii="Calibri" w:hAnsi="Calibri"/>
          <w:b w:val="0"/>
          <w:color w:val="3A4A28"/>
          <w:sz w:val="20"/>
        </w:rPr>
        <w:t>Technology and culture challenges — Glassdoor reviews cite a 'toxic culture shift' in the tech division with bureaucratic politics and low morale, threatening KKR's ability to build the data infrastructure and AI capabilities needed to compete with technology-forward peers</w:t>
      </w:r>
    </w:p>
    <w:p>
      <w:pPr>
        <w:spacing w:before="40" w:after="40"/>
        <w:ind w:left="283"/>
      </w:pPr>
      <w:r>
        <w:rPr>
          <w:rFonts w:ascii="Calibri" w:hAnsi="Calibri"/>
          <w:b/>
          <w:color w:val="4A6B25"/>
          <w:sz w:val="20"/>
        </w:rPr>
        <w:t xml:space="preserve">3. </w:t>
      </w:r>
      <w:r>
        <w:rPr>
          <w:rFonts w:ascii="Calibri" w:hAnsi="Calibri"/>
          <w:b w:val="0"/>
          <w:color w:val="3A4A28"/>
          <w:sz w:val="20"/>
        </w:rPr>
        <w:t>Earnings volatility inherent to the alternative asset model — carried interest and investment income are lumpy and cyclical, making revenue and EPS unpredictable quarter to quarter despite strong underlying franchise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KKR's core business — sourcing, negotiating, and managing multi-billion-dollar alternative investments — is deeply relationship-driven and requires human judgment on complex, one-off transactions that AI cannot standardize [1]. Regulatory requirements (SEC registration, fiduciary duties), decades-long institutional relationships with sovereign wealth funds and pension funds, and the trust required to deploy hundreds of billions create structural moats against AI substitution. AI could automate some analytical functions (deal screening, due diligence document review), but capital allocation judgment, deal negotiation, and portfolio company management remain human-dependent. KKR is positioned as a major beneficiary of AI through its $42B digital infrastructure thesis — owning data centers, power assets, and connectivity that are the physical bottleneck to AI scaling [2]. AI Opportunity (1/1): KKR generates meaningful revenue from AI-related investments. Helix Digital Infrastructure ($10B+ committed with NVIDIA), the $50B CyrusOne data center partnership, and the $19.2B infrastructure fund heavily weighted toward AI-supporting assets generate management fees and carried interest [2]. The hiring of former AWS CEO Adam Selipsky validates the strategic seriousness of the AI infrastructure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KKR Q2 2026 Earnings Release — Record revenue $5.73B, ANI per share $1.63 (+38% YoY), FRE per share $1.32 (+34%), AUM $796B (+16% YoY), FRE margin 70%, July 2026</w:t>
      </w:r>
    </w:p>
    <w:p>
      <w:pPr>
        <w:spacing w:before="20" w:after="20"/>
        <w:ind w:left="170"/>
      </w:pPr>
      <w:r>
        <w:rPr>
          <w:rFonts w:ascii="Calibri" w:hAnsi="Calibri"/>
          <w:b/>
          <w:color w:val="4A6B25"/>
          <w:sz w:val="15"/>
        </w:rPr>
        <w:t xml:space="preserve">2. </w:t>
      </w:r>
      <w:r>
        <w:rPr>
          <w:rFonts w:ascii="Calibri" w:hAnsi="Calibri"/>
          <w:b w:val="0"/>
          <w:color w:val="3A4A28"/>
          <w:sz w:val="17"/>
        </w:rPr>
        <w:t>KKR AI Infrastructure Strategy — Helix Digital Infrastructure launch ($10B+) with NVIDIA and Kuwait Investment Authority, $19.2B record Infrastructure Fund V, $50B CyrusOne data center partnership, $42B digital infrastructure commitment, 2025-2026</w:t>
      </w:r>
    </w:p>
    <w:p>
      <w:pPr>
        <w:spacing w:before="20" w:after="20"/>
        <w:ind w:left="170"/>
      </w:pPr>
      <w:r>
        <w:rPr>
          <w:rFonts w:ascii="Calibri" w:hAnsi="Calibri"/>
          <w:b/>
          <w:color w:val="4A6B25"/>
          <w:sz w:val="15"/>
        </w:rPr>
        <w:t xml:space="preserve">3. </w:t>
      </w:r>
      <w:r>
        <w:rPr>
          <w:rFonts w:ascii="Calibri" w:hAnsi="Calibri"/>
          <w:b w:val="0"/>
          <w:color w:val="3A4A28"/>
          <w:sz w:val="17"/>
        </w:rPr>
        <w:t>KKR ESG Controversies and Responsible Investing — Port Arthur LNG terminal, Wet'suwet'en pipeline concerns, MSCI ESG rating BB, ESG 2.0 framework, PE Climate Risks / KKR ESG Report,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KKR Key Statistics: Forward P/E 16.18x, ROE 7.28%, Profit Margin 12.20%, D/E 70%, PEG 0.78, Stock Price $108.48,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