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KMPR</w:t>
      </w:r>
      <w:r>
        <w:rPr>
          <w:rFonts w:ascii="Calibri" w:hAnsi="Calibri"/>
          <w:b/>
          <w:color w:val="1A2010"/>
          <w:sz w:val="40"/>
        </w:rPr>
        <w:t xml:space="preserve">  Kemper Corporation</w:t>
      </w:r>
    </w:p>
    <w:p>
      <w:pPr>
        <w:spacing w:after="120"/>
      </w:pPr>
      <w:r>
        <w:rPr>
          <w:rFonts w:ascii="Calibri" w:hAnsi="Calibri"/>
          <w:b/>
          <w:color w:val="6E8450"/>
          <w:sz w:val="18"/>
        </w:rPr>
        <w:t>DIVIDEND SLEEVE · 2026-08-09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NYSE · United States</w:t>
      </w:r>
    </w:p>
    <w:p>
      <w:pPr>
        <w:spacing w:after="80"/>
      </w:pPr>
      <w:r>
        <w:rPr>
          <w:rFonts w:ascii="Calibri" w:hAnsi="Calibri"/>
          <w:b w:val="0"/>
          <w:color w:val="3A4A28"/>
          <w:sz w:val="20"/>
        </w:rPr>
        <w:t>Kemper Corporation is an insurance holding company providing specialty property and casualty insurance (primarily non-standard personal auto), life insurance, and related financial services. The company serves underserved and specialty markets, including the Hispanic community, through a network of independent agents and direct channels. Kemper has a 33-year dividend payment history. Headquartered in Chicago, Illinois.</w:t>
      </w:r>
    </w:p>
    <w:p>
      <w:r>
        <w:rPr>
          <w:rFonts w:ascii="Calibri" w:hAnsi="Calibri"/>
          <w:b/>
          <w:color w:val="6E8450"/>
          <w:sz w:val="18"/>
        </w:rPr>
        <w:t>7,500 Employees · https://www.kemper.com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Kemper has executed a strategic restructuring program targeting $80M+ in cumulative annualized run-rate savings and established a 'profitability first' mandate under new leadership, but revenue has declined from a 2021 peak of $5.79B to $4.84B in 2025 (-16% over 4 years), and a $460M goodwill impairment was recorded in Q2 2026 on the specialty auto segment [1][2]. The restructuring represents operational correction rather than innovation. AI Deployment (0/2): No evidence of AI-powered products, AI-driven underwriting models, or quantified AI operational efficiencies. Kemper has not disclosed an AI strategy despite the insurance industry's rapid AI adoption by insurtech competitors [3]. Market Share (1/2): Kemper maintains a meaningful position in specialty/non-standard auto insurance serving underserved populations, and the life insurance segment showed revenue growth to $152M (+4.8% YoY) with operating income up 38.5% [1]. However, overall revenue is declining and the company is not gaining market share. Product Pipeline (0/2): No next-generation products, insurtech capabilities, or innovation pipeline were identified. The ECO upgrade coverages and green home discounts are incremental product features [5]. R&amp;D Intensity (0/1): No notable technology or R&amp;D investment relative to insurance industry peers who are actively deploying AI for pricing, claims, and underwriting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Kemper's mission to 'provide a comprehensive range of insurance products and services that protect individuals and businesses from risk, while delivering exceptional service and value' is generic and interchangeable with virtually any insurance company [4]. The mission does not articulate a deeper purpose or distinguish Kemper from hundreds of P&amp;C carriers. Community Impact (1/2): Kemper publishes ESG reporting covering philanthropy, diversity and inclusion, and environmental initiatives including ECO upgrade coverages, Energy Star/LEED home discounts, and gas shutoff valve discounts [5]. These represent specific product-level community initiatives, though no charitable foundation or quantified dollar amounts were identified. Employee Retention (0/2): Glassdoor rating of 3.6/5 based on 2,366 reviews with 3.5/5 for culture and values and 66% recommendation rate — average for the industry [3]. CEO transition from Joseph Lacher Jr. to Stephen McAnena in May 2026 and P&amp;C leadership shake-up creates organizational uncertainty. No specific retention or tenure data available. Insider Buying (2/2): Over the past year, there have been seven insider purchases totaling approximately $1.5M and zero insider sells — a strongly bullish signal [6]. Director Stuart Parker purchased 25,000 shares ($750K+) in November 2025. Multiple executives putting their own money into the stock during a period of operational difficulty demonstrates genuine leadership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of 64% is below the 70% target (score 1.0). ROE of -19.70% is deeply negative due to the $460M goodwill impairment, scoring 0.0. Revenue growth YoY of 4.3% ($4.84B in 2025 vs $4.64B in 2024) is below the 10% target (score 0.81). 5-year revenue CAGR of approximately -1% reflects the decline from 2021's $5.79B peak (score 0.27). Forward P/E of 8.63 is attractive versus the 20 target (score 1.0). Profit margin of -10.79% is negative, scoring 0.0 — driven by the $460M goodwill impairment. Payout ratio excluded (distorted by impairment; on adjusted operating earnings, estimated at approximately 70%). Consecutive years paid: 33+ years, exceeding the 10-year target (score 1.0, 2x weight). Consecutive years of dividend growth: 1 (recently restarted growth after flat period, score 0.10). 5-year dividend growth CAGR of 2.2%, below the 6% target (score 0.37, 2x weight). Weighted sum approximately 5.9/12 = 5 [1][7].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Kemper operates as a financially-driven insurance holding company with no articulated Just Cause, a generic mission, and recent strategic decisions driven by defensive restructuring rather than purposeful vision. The $460M goodwill impairment, declining revenue, and CEO turnover signal a company managing crisis rather than playing to keep playing. The strong insider buying provides a bright spot — leadership is literally investing in the company's future — but the organizational identity is fundamentally finite and focused on near-term operational survival.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Kemper's mission centers on providing insurance products and services to protect individuals from risk — a purpose that is functionally identical to every other insurance company [4]. The company does serve underserved and specialty markets (including the Hispanic community), which could constitute a genuine cause of expanding financial protection access. However, this is articulated as a business strategy (specialty market positioning) rather than a Just Cause that inspires sacrifice or drives strategic decisions. Sinek would not recognize this as a vision of a future worth fighting for.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Kemper's culture of 'own your success' and empowering employees to take accountability is a distinctive cultural articulation, and the Glassdoor rating of 3.6/5 with 66% recommendation rate suggests adequate employee satisfaction [3]. However, the CEO transition (Lacher to McAnena in May 2026), P&amp;C leadership shake-up, ongoing restructuring, and layoffs create organizational turbulence that undermines psychological safety. The strong insider buying by directors and executives does signal that leadership believes in the organization's future, which Sinek would view positively.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Kemper's competitive positioning focuses on defending market share in specialty auto against larger carriers and insurtech entrants. The 'profitability first' mandate and restructuring are defensive postures focused on survival rather than learning from rivals or self-improvement through competitive pressure [1][2].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Kemper has not demonstrated transformative strategic flexibility. The company's response to declining performance has been defensive — restructuring costs, headcount reduction, exiting unprofitable auto lines — rather than strategic reinvention [1][2]. The $460M goodwill impairment represents an admission that a prior strategic bet (specialty auto expansion) has failed. The company is clinging to its legacy business model rather than pivoting toward the digital/AI-enabled insurance future.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Taking a $460M non-cash goodwill impairment is a painful but honest accounting decision that demonstrates willingness to acknowledge failure rather than continue carrying inflated asset values [1]. The 'profitability first' mandate — explicitly stating that growth must be earned through target returns rather than chased at the expense of margins — shows discipline. However, these are crisis-management decisions rather than courageous long-term investments. The strong insider buying (7 buys, 0 sells, $1.5M+ invested) demonstrates personal financial courage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Kemper presents a deep value contrarian case with a Forward P/E of 8.63, price-to-book of 0.77, and a 4.49% dividend yield supported by 33 consecutive years of payments [7]. Seven insider purchases and zero insider sells over the past year ($1.5M+ invested) signal genuine leadership conviction that the turnaround will succeed [6]. The restructuring program targeting $80M+ in annualized savings, 'profitability first' mandate under new CEO Stephen McAnena, and life insurance segment momentum (operating income +38.5% YoY) provide a credible path to earnings recovery. Forward estimates of ~$3.30 EPS suggest the operational business is healthier than GAAP figures indicate, and analyst price targets imply meaningful upside from current levels.</w:t>
      </w:r>
    </w:p>
    <w:p>
      <w:pPr>
        <w:spacing w:after="120"/>
      </w:pPr>
      <w:r>
        <w:rPr>
          <w:rFonts w:ascii="Calibri" w:hAnsi="Calibri"/>
          <w:b w:val="0"/>
          <w:color w:val="3A4A28"/>
          <w:sz w:val="20"/>
        </w:rPr>
        <w:t>The primary risk is that Kemper's specialty auto turnaround fails. The $460M goodwill impairment signals that the specialty auto franchise — which drives the majority of revenue — has materially less value than previously carried on the balance sheet [1]. Revenue has declined 16% from the 2021 peak of $5.79B to $4.84B, and Q2 2026 revenue of $1,117M missed estimates of $1,143M. Management acknowledged that double-digit rate increases are needed in the California personal auto business, but regulatory approval is uncertain and competitive pressure from AI-enabled insurtech entrants could erode market share in the non-standard auto segment [1][2]. The short interest of 8.77% reflects bearish institutional sentiment. ROE of -19.70% and profit margin of -10.79% (even distorted by the impairment) underscore the depth of the operational challenges, and the dividend payout ratio may become unsustainable if adjusted earnings do not recover toward the $3+ per share range in the next 12-18 months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Restructuring program delivering $80M+ in annualized savings combined with 'profitability first' mandate could restore operating margins and drive adjusted EPS toward the $3.30 forward estimate, validating the 8.63x forward PE multiple</w:t>
      </w:r>
    </w:p>
    <w:p>
      <w:pPr>
        <w:spacing w:before="40" w:after="40"/>
        <w:ind w:left="283"/>
      </w:pPr>
      <w:r>
        <w:rPr>
          <w:rFonts w:ascii="Calibri" w:hAnsi="Calibri"/>
          <w:b/>
          <w:color w:val="4A6B25"/>
          <w:sz w:val="20"/>
        </w:rPr>
        <w:t xml:space="preserve">2. </w:t>
      </w:r>
      <w:r>
        <w:rPr>
          <w:rFonts w:ascii="Calibri" w:hAnsi="Calibri"/>
          <w:b w:val="0"/>
          <w:color w:val="3A4A28"/>
          <w:sz w:val="20"/>
        </w:rPr>
        <w:t>Seven insider buys totaling $1.5M+ with zero sells in the past year — including a 25,000-share purchase by Director Stuart Parker — signal strong leadership conviction in the turnaround at current valuations</w:t>
      </w:r>
    </w:p>
    <w:p>
      <w:pPr>
        <w:spacing w:before="40" w:after="40"/>
        <w:ind w:left="283"/>
      </w:pPr>
      <w:r>
        <w:rPr>
          <w:rFonts w:ascii="Calibri" w:hAnsi="Calibri"/>
          <w:b/>
          <w:color w:val="4A6B25"/>
          <w:sz w:val="20"/>
        </w:rPr>
        <w:t xml:space="preserve">3. </w:t>
      </w:r>
      <w:r>
        <w:rPr>
          <w:rFonts w:ascii="Calibri" w:hAnsi="Calibri"/>
          <w:b w:val="0"/>
          <w:color w:val="3A4A28"/>
          <w:sz w:val="20"/>
        </w:rPr>
        <w:t>Life insurance segment momentum (revenue up to $152M, operating income +38.5% YoY) provides diversified earnings support while the specialty auto restructuring progresses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Specialty auto turnaround may fail — $460M goodwill impairment, revenue down 16% from 2021 peak, Q2 2026 revenue missing estimates, and management's acknowledgment that double-digit California rate increases are needed but not guaranteed</w:t>
      </w:r>
    </w:p>
    <w:p>
      <w:pPr>
        <w:spacing w:before="40" w:after="40"/>
        <w:ind w:left="283"/>
      </w:pPr>
      <w:r>
        <w:rPr>
          <w:rFonts w:ascii="Calibri" w:hAnsi="Calibri"/>
          <w:b/>
          <w:color w:val="4A6B25"/>
          <w:sz w:val="20"/>
        </w:rPr>
        <w:t xml:space="preserve">2. </w:t>
      </w:r>
      <w:r>
        <w:rPr>
          <w:rFonts w:ascii="Calibri" w:hAnsi="Calibri"/>
          <w:b w:val="0"/>
          <w:color w:val="3A4A28"/>
          <w:sz w:val="20"/>
        </w:rPr>
        <w:t>AI-enabled insurtech competitors could disrupt Kemper's non-standard auto market through algorithmic underwriting and dynamic pricing, accelerating adverse selection against Kemper's traditional agency model</w:t>
      </w:r>
    </w:p>
    <w:p>
      <w:pPr>
        <w:spacing w:before="40" w:after="40"/>
        <w:ind w:left="283"/>
      </w:pPr>
      <w:r>
        <w:rPr>
          <w:rFonts w:ascii="Calibri" w:hAnsi="Calibri"/>
          <w:b/>
          <w:color w:val="4A6B25"/>
          <w:sz w:val="20"/>
        </w:rPr>
        <w:t xml:space="preserve">3. </w:t>
      </w:r>
      <w:r>
        <w:rPr>
          <w:rFonts w:ascii="Calibri" w:hAnsi="Calibri"/>
          <w:b w:val="0"/>
          <w:color w:val="3A4A28"/>
          <w:sz w:val="20"/>
        </w:rPr>
        <w:t>Dividend sustainability at risk — $1.28 annual dividend against negative GAAP earnings requires adjusted operating income recovery to $3+ EPS within 12-18 months, or the 33-year payment streak faces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Kemper's core insurance business faces meaningful AI disruption risk from insurtech competitors deploying AI-driven underwriting, dynamic pricing, and automated claims processing that could price risk more accurately and operate at lower cost [3]. The specialty auto segment (non-standard personal auto) is particularly vulnerable — algorithmic underwriting could enable competitors to cherry-pick profitable risks while Kemper faces adverse selection. However, insurance is a heavily regulated industry requiring state-by-state licensing, rate filings, and compliance infrastructure that creates barriers for AI-native entrants. Kemper's agent distribution network and established relationships in specialty markets (particularly Hispanic communities) provide some defensive moat. The life insurance segment faces less AI disruption risk due to longer product cycles and regulatory complexity. AI Opportunity (0/1): Kemper has not disclosed AI-powered products, AI-driven underwriting capabilities, or AI revenue generation. The company appears to be a laggard in AI adoption relative to insurance industry peers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Kemper Corporation Q2 2026 Earnings Release and $460M Impairment — StockTitan,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Kemper Corporation Restructuring and Profitability First Mandate — Yahoo Finance Earnings Call Summary, Q2 2026</w:t>
      </w:r>
    </w:p>
    <w:p>
      <w:pPr>
        <w:spacing w:before="20" w:after="20"/>
        <w:ind w:left="170"/>
      </w:pPr>
      <w:r>
        <w:rPr>
          <w:rFonts w:ascii="Calibri" w:hAnsi="Calibri"/>
          <w:b/>
          <w:color w:val="4A6B25"/>
          <w:sz w:val="15"/>
        </w:rPr>
        <w:t xml:space="preserve">3. </w:t>
      </w:r>
      <w:r>
        <w:rPr>
          <w:rFonts w:ascii="Calibri" w:hAnsi="Calibri"/>
          <w:b w:val="0"/>
          <w:color w:val="3A4A28"/>
          <w:sz w:val="17"/>
        </w:rPr>
        <w:t>Kemper Glassdoor Reviews, Leadership Changes, and AI Strategy — Glassdoor, Simply Wall St, 2024-2026</w:t>
      </w:r>
    </w:p>
    <w:p>
      <w:pPr>
        <w:spacing w:before="20" w:after="20"/>
        <w:ind w:left="170"/>
      </w:pPr>
      <w:r>
        <w:rPr>
          <w:rFonts w:ascii="Calibri" w:hAnsi="Calibri"/>
          <w:b/>
          <w:color w:val="4A6B25"/>
          <w:sz w:val="15"/>
        </w:rPr>
        <w:t xml:space="preserve">4. </w:t>
      </w:r>
      <w:r>
        <w:rPr>
          <w:rFonts w:ascii="Calibri" w:hAnsi="Calibri"/>
          <w:b w:val="0"/>
          <w:color w:val="3A4A28"/>
          <w:sz w:val="17"/>
        </w:rPr>
        <w:t>Kemper Corporation Mission and Corporate Profile — dcf-model.com, MatrixBCG, Comparably, 2026</w:t>
      </w:r>
    </w:p>
    <w:p>
      <w:pPr>
        <w:spacing w:before="20" w:after="20"/>
        <w:ind w:left="170"/>
      </w:pPr>
      <w:r>
        <w:rPr>
          <w:rFonts w:ascii="Calibri" w:hAnsi="Calibri"/>
          <w:b/>
          <w:color w:val="4A6B25"/>
          <w:sz w:val="15"/>
        </w:rPr>
        <w:t xml:space="preserve">5. </w:t>
      </w:r>
      <w:r>
        <w:rPr>
          <w:rFonts w:ascii="Calibri" w:hAnsi="Calibri"/>
          <w:b w:val="0"/>
          <w:color w:val="3A4A28"/>
          <w:sz w:val="17"/>
        </w:rPr>
        <w:t>Kemper Corporation ESG Report — BusinessWire, CSRHub, ResponsibilityReports.com, 2022-2025</w:t>
      </w:r>
    </w:p>
    <w:p>
      <w:pPr>
        <w:spacing w:before="20" w:after="20"/>
        <w:ind w:left="170"/>
      </w:pPr>
      <w:r>
        <w:rPr>
          <w:rFonts w:ascii="Calibri" w:hAnsi="Calibri"/>
          <w:b/>
          <w:color w:val="4A6B25"/>
          <w:sz w:val="15"/>
        </w:rPr>
        <w:t xml:space="preserve">6. </w:t>
      </w:r>
      <w:r>
        <w:rPr>
          <w:rFonts w:ascii="Calibri" w:hAnsi="Calibri"/>
          <w:b w:val="0"/>
          <w:color w:val="3A4A28"/>
          <w:sz w:val="17"/>
        </w:rPr>
        <w:t>Kemper Corporation Insider Buying Activity — GuruFocus, Yahoo Finance, Simply Wall St, 2025-2026</w:t>
      </w:r>
    </w:p>
    <w:p>
      <w:pPr>
        <w:spacing w:before="20" w:after="20"/>
        <w:ind w:left="170"/>
      </w:pPr>
      <w:r>
        <w:rPr>
          <w:rFonts w:ascii="Calibri" w:hAnsi="Calibri"/>
          <w:b/>
          <w:color w:val="4A6B25"/>
          <w:sz w:val="15"/>
        </w:rPr>
        <w:t xml:space="preserve">7. </w:t>
      </w:r>
      <w:r>
        <w:rPr>
          <w:rFonts w:ascii="Calibri" w:hAnsi="Calibri"/>
          <w:b w:val="0"/>
          <w:color w:val="3A4A28"/>
          <w:sz w:val="17"/>
        </w:rPr>
        <w:t>StockAnalysis / Yahoo Finance — KMPR Key Statistics, Forward PE, Dividend History,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