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KOS</w:t>
      </w:r>
      <w:r>
        <w:rPr>
          <w:rFonts w:ascii="Calibri" w:hAnsi="Calibri"/>
          <w:b/>
          <w:color w:val="1A2010"/>
          <w:sz w:val="40"/>
        </w:rPr>
        <w:t xml:space="preserve">  Kosmos Energy Ltd.</w:t>
      </w:r>
    </w:p>
    <w:p>
      <w:pPr>
        <w:spacing w:after="120"/>
      </w:pPr>
      <w:r>
        <w:rPr>
          <w:rFonts w:ascii="Calibri" w:hAnsi="Calibri"/>
          <w:b/>
          <w:color w:val="6E8450"/>
          <w:sz w:val="18"/>
        </w:rPr>
        <w:t>GROWTH SLEEVE · 2026-08-12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Kosmos Energy is a deepwater exploration and production company focused on offshore oil and gas in Ghana (Jubilee Field), Senegal/Mauritania (Greater Tortue Ahmeyim LNG), and the U.S. Gulf of Mexico. Q2 2026 marked a significant turnaround with revenue of $617M (up 57% YoY), net income of $185M, and production of 71,400 boepd (up 12%). Net debt fell approximately 50% from year-end 2025 to over $500M in liquidity. Led by CEO Andy Inglis since 2014.</w:t>
      </w:r>
    </w:p>
    <w:p>
      <w:r>
        <w:rPr>
          <w:rFonts w:ascii="Calibri" w:hAnsi="Calibri"/>
          <w:b/>
          <w:color w:val="6E8450"/>
          <w:sz w:val="18"/>
        </w:rPr>
        <w:t>216 Employees · https://www.kosmosenergy.com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Kosmos executed a major operational turnaround in H1 2026 — Q2 revenue of $617M (up 57% YoY) beat estimates of $493M, with net income of $185M reversing the Q4 2025 loss of $377M [1]. The Greater Tortue Ahmeyim (GTA) LNG project ramp-up in Senegal/Mauritania represents a genuinely new revenue stream from first gas, and new Jubilee wells in Ghana drove production to 71,400 boepd (up 12% YoY) [1]. H1 2026 production up 18% with operating costs down 24% demonstrates execution on dual growth and efficiency targets. AI Deployment (0/2): No evidence of AI-powered products or quantified AI-driven operational savings. Environmental reporting digitization is the primary technology application, not AI-driven [2]. Market Share (1/2): Meaningful position in Ghana's Jubilee Field (one of West Africa's most productive deepwater assets) and the pioneering GTA LNG project, though Kosmos operates as a non-operator partner in most assets [1]. Pipeline (1/2): GTA LNG continued ramp-up provides near-term production growth visibility. Jubilee infill drilling program extending plateau production. No major new exploration discoveries announced [1]. R&amp;D Intensity (1/1): Innovation Center programs in Ghana and Mauritania supporting local entrepreneurship demonstrate non-traditional innovation investment in host communities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Kosmos positions itself as a responsible exploration company that 'moves fast' with a startup-oriented culture. The mission connects to providing energy access in developing nations (Ghana, Senegal, Mauritania), which is a distinctive and purposeful framing for an E&amp;P company. However, the mission is not deeply articulated beyond operational culture [2]. Community Impact (2/2): Kosmos Innovation Center in Ghana and Mauritania supports young entrepreneurs with mentorship, funding, and business development programs. 100% local employment in host country offices. From 2014-2023, Kosmos and Jubilee partners supplied 200 BCF of gas at no cost to Ghana's power grid, worth approximately $1.5B — a significant community contribution [2][3]. Employee Retention (0/2): Only 216 employees. Open-door policy and regular town halls suggest transparent culture, but no specific retention data available for such a small organization. Insider Buying (1/2): CEO Andy Inglis has led since 2014 (12+ years of tenure), providing exceptional leadership continuity through the company's worst financial crisis. His BP pedigree and sustained commitment signal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with significantly improved but still stressed financials. D/E remains above the 300% floor after net debt fell approximately 50% from year-end 2025 — the company still carries substantial leverage from its $3B+ debt peak, scoring 0 on D/E [1][4]. Revenue growth of 57% YoY in Q2 2026 far exceeds the 10% target, scoring 1.0 [1]. Forward P/E estimated at approximately 12 based on improved earnings trajectory (Q2 EPS of $0.11), well below the 20 target, scoring 1.0. TTM profit margin estimated at approximately 10% as the strong Q2 ($185M net income on $617M revenue = 30% quarterly margin) offsets prior-period losses, scoring 0.5 [1]. ROE excluded from scoring as TTM figure remains distorted by prior-period losses despite Q2 profitability. 5-year revenue CAGR and PEG excluded (unavailable). Liquidity: 26.5M avg volume x $3.00 = $79.5M daily —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Kosmos demonstrates meaningful infinite game qualities through the Innovation Center programs in Ghana and Mauritania, the $1.5B in free gas supplied to Ghana's power grid, and CEO Inglis's 12-year commitment through the company's worst financial crisis. The operational turnaround in H1 2026 — production up 18%, costs down 24%, net debt halved — shows the results of patient long-term investment. However, the company's extreme leverage, dilutive equity offering, and fossil fuel extraction business model create tensions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Kosmos's purpose connects to providing energy access in developing African nations — the $1.5B in free gas supplied to Ghana's power grid from 2014-2023 and the Innovation Center entrepreneurship programs demonstrate genuine commitment to host country development beyond extraction [2][3]. However, the core business of fossil fuel extraction faces increasing existential questions in a decarbonizing world, and the company's mission is primarily operational ('move fast, win big') rather than a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 a 216-person organization, Kosmos maintains an open-door policy, regular town halls with CEO Q&amp;A, and 100% local employment in host countries [2]. CEO Inglis's 12-year tenure through the company's most challenging period (Q4 2025 $377M loss, dilutive equity offering) provides leadership stability and continuity. The small team has executed a complex multi-country operational turnaround. However, no specific employee retention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Kosmos partners with Shell on the GTA LNG project in Senegal/Mauritania — a rival that is simultaneously a strategic partner, creating a natural worthy rivals dynamic [1]. CEO Inglis's career at BP and Petrofac demonstrates competitive learning across the industry. The Mastercard Foundation partnership for community development shows openness to cross-industry collaboration. Competitive language focuses on building distinctive deepwater capabilities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Kosmos has executed portfolio restructuring — the Equatorial Guinea asset sale ($219.5M) to focus on higher-quality assets, the GTA LNG project adding gas/LNG exposure beyond pure oil production, and the dilutive but survival-essential equity offering demonstrate willingness to make painful strategic decisions [1]. The expansion into LNG through GTA diversifies the commodity mix. However, these are defensive restructuring actions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Inglis maintained production investment and committed to GTA LNG ramp-up despite carrying $3B+ in debt and reporting a $377M quarterly loss — a courageous bet that is now paying off with Q2 2026 net income of $185M and net debt halved [1]. Guiding for 15% production growth while simultaneously reducing costs 24% required conviction during the company's darkest period. However, the 97.5M share dilutive offering at $1.90 demonstrated the company's weak bargaining position, and ESG gaps remain in environmental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Kosmos Energy delivered a strong Q2 2026 with revenue of $617M (up 57% YoY, beating the $493M estimate), net income of $185M, and production of 71,400 boepd (up 12% YoY) [1]. The operational turnaround is material: H1 2026 production up 18%, absolute operating costs down 24%, and net debt halved from year-end 2025 to over $500M in liquidity [1]. The GTA LNG ramp-up in Senegal/Mauritania is delivering a new revenue stream while Jubilee infill wells sustain Ghana production. CEO Inglis's 12-year tenure and BP pedigree provide operational credibility. At a forward P/E of approximately 12 and enterprise value reflecting the deleveraging trajectory, Kosmos offers asymmetric upside if the turnaround continues. Community investment programs (Innovation Center, $1.5B in free gas to Ghana) and EITI transparency commitment differentiate ESG positioning among E&amp;P peers [2][3].</w:t>
      </w:r>
    </w:p>
    <w:p>
      <w:pPr>
        <w:spacing w:after="120"/>
      </w:pPr>
      <w:r>
        <w:rPr>
          <w:rFonts w:ascii="Calibri" w:hAnsi="Calibri"/>
          <w:b w:val="0"/>
          <w:color w:val="3A4A28"/>
          <w:sz w:val="20"/>
        </w:rPr>
        <w:t>The bear case centers on persistent leverage risk and commodity dependence despite the turnaround. While net debt fell 50%, Kosmos still carries over $2B in total debt with leverage ratios that leave minimal margin for error if oil prices decline [1]. The March 2026 dilutive equity offering of 97.5M shares at $1.90 destroyed significant shareholder value, and further dilution cannot be ruled out if production growth stalls. Oil price dependence is extreme — a sustained decline below $60 Brent would reverse the deleveraging progress and potentially make debt service unsustainable. The company operates in geopolitically complex jurisdictions (Ghana, Equatorial Guinea, Senegal, Mauritania) with sovereign risk, and the Jubilee Field criminal investigation creates lingering legal overhang [3]. The non-operator position in most assets limits operational control. With 216 employees, the company has limited organizational depth to manage multi-country operations under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GTA LNG ramp-up in Senegal/Mauritania driving incremental production and revenue growth toward the 70-78K boepd annual guidance, establishing a durable new cash flow stream</w:t>
      </w:r>
    </w:p>
    <w:p>
      <w:pPr>
        <w:spacing w:before="40" w:after="40"/>
        <w:ind w:left="283"/>
      </w:pPr>
      <w:r>
        <w:rPr>
          <w:rFonts w:ascii="Calibri" w:hAnsi="Calibri"/>
          <w:b/>
          <w:color w:val="4A6B25"/>
          <w:sz w:val="20"/>
        </w:rPr>
        <w:t xml:space="preserve">2. </w:t>
      </w:r>
      <w:r>
        <w:rPr>
          <w:rFonts w:ascii="Calibri" w:hAnsi="Calibri"/>
          <w:b w:val="0"/>
          <w:color w:val="3A4A28"/>
          <w:sz w:val="20"/>
        </w:rPr>
        <w:t>Accelerated deleveraging from record free cash flow generation — net debt halved in H1 2026, with continued debt reduction potentially unlocking dividend capacity and multiple re-rating by 2027</w:t>
      </w:r>
    </w:p>
    <w:p>
      <w:pPr>
        <w:spacing w:before="40" w:after="40"/>
        <w:ind w:left="283"/>
      </w:pPr>
      <w:r>
        <w:rPr>
          <w:rFonts w:ascii="Calibri" w:hAnsi="Calibri"/>
          <w:b/>
          <w:color w:val="4A6B25"/>
          <w:sz w:val="20"/>
        </w:rPr>
        <w:t xml:space="preserve">3. </w:t>
      </w:r>
      <w:r>
        <w:rPr>
          <w:rFonts w:ascii="Calibri" w:hAnsi="Calibri"/>
          <w:b w:val="0"/>
          <w:color w:val="3A4A28"/>
          <w:sz w:val="20"/>
        </w:rPr>
        <w:t>Jubilee Field production sustainability through infill drilling and well optimization, extending plateau production from one of West Africa's most productive deepwater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leverage risk — despite halving net debt, Kosmos still carries over $2B in total debt and remains vulnerable to commodity price swings that could reverse deleveraging progress</w:t>
      </w:r>
    </w:p>
    <w:p>
      <w:pPr>
        <w:spacing w:before="40" w:after="40"/>
        <w:ind w:left="283"/>
      </w:pPr>
      <w:r>
        <w:rPr>
          <w:rFonts w:ascii="Calibri" w:hAnsi="Calibri"/>
          <w:b/>
          <w:color w:val="4A6B25"/>
          <w:sz w:val="20"/>
        </w:rPr>
        <w:t xml:space="preserve">2. </w:t>
      </w:r>
      <w:r>
        <w:rPr>
          <w:rFonts w:ascii="Calibri" w:hAnsi="Calibri"/>
          <w:b w:val="0"/>
          <w:color w:val="3A4A28"/>
          <w:sz w:val="20"/>
        </w:rPr>
        <w:t>Oil price dependence — a sustained decline below $60 Brent would compress free cash flow generation and potentially make debt service unsustainable, with limited hedging protection</w:t>
      </w:r>
    </w:p>
    <w:p>
      <w:pPr>
        <w:spacing w:before="40" w:after="40"/>
        <w:ind w:left="283"/>
      </w:pPr>
      <w:r>
        <w:rPr>
          <w:rFonts w:ascii="Calibri" w:hAnsi="Calibri"/>
          <w:b/>
          <w:color w:val="4A6B25"/>
          <w:sz w:val="20"/>
        </w:rPr>
        <w:t xml:space="preserve">3. </w:t>
      </w:r>
      <w:r>
        <w:rPr>
          <w:rFonts w:ascii="Calibri" w:hAnsi="Calibri"/>
          <w:b w:val="0"/>
          <w:color w:val="3A4A28"/>
          <w:sz w:val="20"/>
        </w:rPr>
        <w:t>Geopolitical and operational risk across four West African jurisdictions (Ghana, Equatorial Guinea, Senegal, Mauritania) with sovereign counterparty risk, plus non-operator status limiting direct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Deepwater oil and gas exploration and production is a physical-world operation requiring specialized offshore rigs, subsea engineering, geological expertise, environmental permitting, and multi-billion-dollar infrastructure that AI structurally cannot displace [1]. Drilling deepwater wells in Ghana and operating LNG facilities in Senegal/Mauritania requires physical-world capabilities, regulatory relationships with sovereign governments, and technical expertise that creates insurmountable barriers to AI substitution. AI-enhanced seismic analysis may improve competitor exploration efficiency, but Kosmos operates in proven basins with decades of production data. The longer-term risk is the energy transition driven by AI-optimized renewables, which is a secular demand risk rather than a direct AI substitution risk for the production business. AI Opportunity (0/1): No meaningful AI revenue. Environmental reporting digitization and Innovation Center programs are not AI-revenue-generating activities.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Kosmos Energy Q2 2026 Earnings Release — StockTitan, TradingKey, Investing.com, FinancialContent, August 2026</w:t>
      </w:r>
    </w:p>
    <w:p>
      <w:pPr>
        <w:spacing w:before="20" w:after="20"/>
        <w:ind w:left="170"/>
      </w:pPr>
      <w:r>
        <w:rPr>
          <w:rFonts w:ascii="Calibri" w:hAnsi="Calibri"/>
          <w:b/>
          <w:color w:val="4A6B25"/>
          <w:sz w:val="15"/>
        </w:rPr>
        <w:t xml:space="preserve">2. </w:t>
      </w:r>
      <w:r>
        <w:rPr>
          <w:rFonts w:ascii="Calibri" w:hAnsi="Calibri"/>
          <w:b w:val="0"/>
          <w:color w:val="3A4A28"/>
          <w:sz w:val="17"/>
        </w:rPr>
        <w:t>Kosmos Energy Company Website — Innovation Center, People, Corporate Governance,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Kosmos Energy ESG Profile — EITI, 2025 Sustainability Report, Ghana gas supply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Kosmos Energy (KOS) Financial Statistics — StockAnalysis.com, GuruFocus, WallStreetZen,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