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LAB</w:t>
      </w:r>
      <w:r>
        <w:rPr>
          <w:rFonts w:ascii="Calibri" w:hAnsi="Calibri"/>
          <w:b/>
          <w:color w:val="1A2010"/>
          <w:sz w:val="40"/>
        </w:rPr>
        <w:t xml:space="preserve">  Standard BioTools Inc.</w:t>
      </w:r>
    </w:p>
    <w:p>
      <w:pPr>
        <w:spacing w:after="120"/>
      </w:pPr>
      <w:r>
        <w:rPr>
          <w:rFonts w:ascii="Calibri" w:hAnsi="Calibri"/>
          <w:b/>
          <w:color w:val="6E8450"/>
          <w:sz w:val="18"/>
        </w:rPr>
        <w:t>GROWTH SLEEVE · 2026-07-20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Standard BioTools (formerly Fluidigm) develops, manufactures, and sells instrumentation, consumables, and services for life science research and clinical applications. Key platforms include CyTOF mass cytometry, Hyperion spatial biology, and Biomark X9 high-throughput genomics. The company divested its SomaScan proteomics platform to Illumina in January 2026 and announced a reverse merger with Treeline Biosciences in June 2026 valued at $2.5B combined, with Standard BioTools shareholders expected to own approximately 16% of the combined entity.</w:t>
      </w:r>
    </w:p>
    <w:p>
      <w:r>
        <w:rPr>
          <w:rFonts w:ascii="Calibri" w:hAnsi="Calibri"/>
          <w:b/>
          <w:color w:val="6E8450"/>
          <w:sz w:val="18"/>
        </w:rPr>
        <w:t>385 Employees · https://www.standardbio.com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Standard BioTools was formed from the 2022 merger of Fluidigm and SomaLogic, but the integration failed to produce growth — revenue declined to $85M and the SomaScan platform was divested to Illumina in January 2026 [1]. Q1 2026 revenue of $21.1M (up 5% YoY) on continuing operations shows initial stabilization but not transformation [2]. AI Deployment (0/2): The company's roadmap includes AI/ML for cell phenotype classification, IMC image segmentation, and biomarker discovery, but no AI-powered products are currently shipping to customers and no quantified AI-driven results have been reported [3]. Market Share (2/2): CyTOF mass cytometry technology is genuinely unique with no direct competitor in metal-tagged antibody mass spectrometry, giving Standard BioTools a category-defining niche in high-dimensional single-cell proteomics and spatial biology [3]. The collaboration with Molecular Instruments for next-gen Imaging Mass Cytometry further strengthens this position. Product Pipeline (1/2): The Treeline Biosciences merger will bring a clinical-stage biotech pipeline to the combined company, and the Molecular Instruments collaboration targets next-gen IMC workflows, though specific revenue timelines are not articulated [2]. R&amp;D Intensity (1/1): R&amp;D spending is substantial relative to revenue — gross margins of approximately 50% with operating margins of -91% imply significant R&amp;D investment well above life sciences tools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Standard BioTools' mission to 'unleash next-generation technologies to help drive innovation in the life science industry' is generic and interchangeable with any life sciences tools company — Thermo Fisher, Agilent, or Illumina could substitute the same words [3]. It does not articulate a deeper purpose or inspire beyond the obvious. Community Impact (1/2): The company's instruments contribute to cancer research and drug discovery in academic and clinical settings, providing indirect societal benefit. Published an inaugural ESG report aligned with UN Global Compact principles on human rights, labor, and environmental protection [4]. However, no specific charitable programs or dollar amounts cited. Employee Retention (0/2): Glassdoor reviews indicate severe organizational dysfunction — 29% recommendation rate, 2.5/5 culture score, and employees describing 'nearly complete change in leadership team, lots of attrition, and layoffs' with a 'massive knowledge gap' [3]. Management team average tenure of 1.8 years confirms high turnover. Insider Buying (0/2): No evidence of net insider buying by executives. The company's leadership instability (nearly complete turnover) makes sustained insider conviction unlikely.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financial profile is significantly improved on the balance sheet side following the SomaScan divestiture: $455M cash against only $29.5M debt produces D/E of 5% (scores 1.0) and net cash position of $425.7M — the company is worth approximately its cash value at the current $460M market cap [1][5]. However, operating profitability remains deeply distressed with ROE of -9.86% (scores 0.0 at 2x weight) and ongoing operating losses on $80-85M revenue [2]. Q1 2026 revenue of $21.1M grew 5% YoY (scores 0.83), the first positive growth reading following years of contraction [2]. Forward P/E of 41.49 (scores 0.46) reflects market pricing of the Treeline merger premium. Trailing profit margin of 90.67% is entirely distorted by one-time SomaScan divestiture gains — ongoing operating margin remains approximately -90% [1]. Revenue growth 5yr CAGR and PEG are unavailable. Liquidity floor cleared at $2.8M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Standard BioTools exhibits predominantly finite-game behavior — the company has undergone four identity transformations in four years (Fluidigm to SomaLogic merger to Standard BioTools rebrand to SomaScan divestiture to Treeline merger) without establishing a coherent, enduring purpose. Leadership instability (1.8-year average tenure, nearly complete team turnover), severely negative Glassdoor culture scores, and survival-driven pivots suggest an organization playing to avoid losing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purpose of enabling scientific discovery is genuine but generic — it does not differentiate Standard BioTools from any other life sciences tools company [3]. The company's identity has been in constant flux: Fluidigm to SomaLogic merger to Standard BioTools rebrand to SomaScan divestiture to Treeline reverse merger, all within four years. Sinek would note the absence of a north star connecting these decisions to a coherent vision of the future. The Treeline merger will create an entirely new company (ticker TRLN), further erasing any continuity of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is deeply compromised. Glassdoor reviews show a 29% recommendation rate and 2.5/5 culture score, with employees stating the $250M investment and rebranding 'changed basically nothing of its root issues' [3]. The company has undergone 'nearly complete change in leadership team' with 'lots of attrition and layoffs' creating 'a massive knowledge gap.' Management team average tenure of 1.8 years confirms revolving-door leadership. Sinek would identify this as a textbook low-trust environment where people spend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The divestiture of SomaScan to Illumina could be interpreted as recognizing a rival's superior commercialization ability, but the company's competitive posture appears defensive and survival-oriented rather than growth-oriented. No evidence of infinite competitive language in management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Standard BioTools has demonstrated willingness to make dramatic portfolio changes — divesting SomaScan to Illumina in January 2026 and agreeing to a reverse merger with Treeline Biosciences in June 2026 that will transform the company entirely [1][2]. The combined entity will operate under a new name (Treeline Biosciences) and new ticker (TRLN). This represents genuine existential flexibility — but the pivots appear driven by financial necessity and market survival rather than a purposeful Just Cause, which Sinek would distinguish from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Michael Egholm made the difficult decision to divest SomaScan to Illumina and accept a smaller $80-85M revenue base to focus on the CyTOF and Hyperion platforms where Standard BioTools has genuine technological differentiation [1][2]. The subsequent Treeline reverse merger represents another bold strategic bet — accepting 84% dilution in exchange for combining with a clinical-stage biotech with $2.5B valuation. These decisions show willingness to sacrifice near-term scale for long-term strategic positioning, though the track record of these bets delivering results is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 BioTools owns category-defining CyTOF mass cytometry technology with no direct competitor in metal-tagged single-cell proteomics, and the Hyperion spatial biology platform addresses a fast-growing market [3]. Following the SomaScan divestiture, the company holds $455M cash against only $29.5M debt, giving it $425.7M net cash — nearly equal to its entire $460M market cap [5]. Q1 2026 revenue of $21.1M (up 5% YoY) shows initial stabilization on continuing operations [2]. The transformative event is the June 2026 reverse merger with Treeline Biosciences, valuing the combined entity at ~$2.5B with $900M pro-forma cash expected to fund operations into 2029. An Inspire score of +53 (ALIGNED) provides faith compatibility.</w:t>
      </w:r>
    </w:p>
    <w:p>
      <w:pPr>
        <w:spacing w:after="120"/>
      </w:pPr>
      <w:r>
        <w:rPr>
          <w:rFonts w:ascii="Calibri" w:hAnsi="Calibri"/>
          <w:b w:val="0"/>
          <w:color w:val="3A4A28"/>
          <w:sz w:val="20"/>
        </w:rPr>
        <w:t>The bear case remains substantial despite the improved cash position. The operating business generates only $80-85M in guided revenue with approximately -90% operating margins, meaning the market values the instruments business at roughly zero [1][2]. Standard BioTools shareholders will own only 16% of the combined Treeline entity, representing massive dilution of the existing business. The Treeline merger is a clinical-stage biotech bet with all the attendant risks of drug development. Glassdoor culture scores (29% recommendation, 1.8-year average management tenure) indicate organizational dysfunction during a critical transition period [3]. Revenue growth of 5% in Q1 2026 is positive but modest for a company that needs to demonstrate the CyTOF/Hyperion platforms can grow independently. Consumables revenue declines in 2025 signal weakening installed-base utilization. Competing against Illumina (which now owns SomaScan), Thermo Fisher, and 10x Genomics with 385 employees remains an existential scale mismatch.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Treeline Biosciences reverse merger closing in H2 2026, creating a combined entity with $900M pro-forma cash, clinical-stage drug pipeline, and Standard BioTools' instrumentation platforms under ticker TRLN</w:t>
      </w:r>
    </w:p>
    <w:p>
      <w:pPr>
        <w:spacing w:before="40" w:after="40"/>
        <w:ind w:left="283"/>
      </w:pPr>
      <w:r>
        <w:rPr>
          <w:rFonts w:ascii="Calibri" w:hAnsi="Calibri"/>
          <w:b/>
          <w:color w:val="4A6B25"/>
          <w:sz w:val="20"/>
        </w:rPr>
        <w:t xml:space="preserve">2. </w:t>
      </w:r>
      <w:r>
        <w:rPr>
          <w:rFonts w:ascii="Calibri" w:hAnsi="Calibri"/>
          <w:b w:val="0"/>
          <w:color w:val="3A4A28"/>
          <w:sz w:val="20"/>
        </w:rPr>
        <w:t>Continued Q1 2026 revenue growth trend (5% YoY) through full year 2026, validating post-SomaScan divestiture stabilization and CyTOF/Hyperion platform independence</w:t>
      </w:r>
    </w:p>
    <w:p>
      <w:pPr>
        <w:spacing w:before="40" w:after="40"/>
        <w:ind w:left="283"/>
      </w:pPr>
      <w:r>
        <w:rPr>
          <w:rFonts w:ascii="Calibri" w:hAnsi="Calibri"/>
          <w:b/>
          <w:color w:val="4A6B25"/>
          <w:sz w:val="20"/>
        </w:rPr>
        <w:t xml:space="preserve">3. </w:t>
      </w:r>
      <w:r>
        <w:rPr>
          <w:rFonts w:ascii="Calibri" w:hAnsi="Calibri"/>
          <w:b w:val="0"/>
          <w:color w:val="3A4A28"/>
          <w:sz w:val="20"/>
        </w:rPr>
        <w:t>Molecular Instruments collaboration developing next-gen Imaging Mass Cytometry workflows combining HCR Gold RNA imaging with the Hyperion system, expanding the spatial biology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Standard BioTools shareholders receive only 16% of the combined Treeline entity — massive dilution that transforms this from an instruments company investment into a clinical-stage biotech bet with binary drug development outcomes</w:t>
      </w:r>
    </w:p>
    <w:p>
      <w:pPr>
        <w:spacing w:before="40" w:after="40"/>
        <w:ind w:left="283"/>
      </w:pPr>
      <w:r>
        <w:rPr>
          <w:rFonts w:ascii="Calibri" w:hAnsi="Calibri"/>
          <w:b/>
          <w:color w:val="4A6B25"/>
          <w:sz w:val="20"/>
        </w:rPr>
        <w:t xml:space="preserve">2. </w:t>
      </w:r>
      <w:r>
        <w:rPr>
          <w:rFonts w:ascii="Calibri" w:hAnsi="Calibri"/>
          <w:b w:val="0"/>
          <w:color w:val="3A4A28"/>
          <w:sz w:val="20"/>
        </w:rPr>
        <w:t>Operating margins of approximately -90% and $80-85M revenue guidance indicate the instruments business generates no economic profit, meaning downside to pre-merger cash value ($425.7M net cash) if the Treeline deal fails</w:t>
      </w:r>
    </w:p>
    <w:p>
      <w:pPr>
        <w:spacing w:before="40" w:after="40"/>
        <w:ind w:left="283"/>
      </w:pPr>
      <w:r>
        <w:rPr>
          <w:rFonts w:ascii="Calibri" w:hAnsi="Calibri"/>
          <w:b/>
          <w:color w:val="4A6B25"/>
          <w:sz w:val="20"/>
        </w:rPr>
        <w:t xml:space="preserve">3. </w:t>
      </w:r>
      <w:r>
        <w:rPr>
          <w:rFonts w:ascii="Calibri" w:hAnsi="Calibri"/>
          <w:b w:val="0"/>
          <w:color w:val="3A4A28"/>
          <w:sz w:val="20"/>
        </w:rPr>
        <w:t>Severe organizational dysfunction (29% Glassdoor recommendation, 1.8-year average management tenure, 'massive knowledge gap' from turnover) threatens execution during the most complex corporate transaction in the company's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Standard BioTools' core business — mass cytometry instruments, spatial biology platforms, and microfluidic consumables — involves complex physical laboratory hardware and proprietary reagent chemistry that AI cannot replicate [3]. The instruments require wet-lab biological sample processing and physical interaction with cells that is structurally immune to software substitution. However, AI-driven computational biology tools could reduce the number of experiments researchers need to run, potentially compressing instrument utilization and consumables demand. Additionally, competitors like Illumina (now owning SomaScan) could integrate AI-enhanced analytics that make Standard BioTools' remaining platforms less differentiated. AI Opportunity (0/1): While CyTOF and Hyperion platforms generate high-dimensional data increasingly analyzed using AI/ML tools, Standard BioTools does not report specific AI-attributable revenue figures or percentages from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 BioTools Q4/FY2025 Results — revenue $85.3M, SomaScan divestiture, 2026 guidance $80-85M,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Standard BioTools Q1 2026 Results — revenue $21.1M (+5% YoY), Molecular Instruments collaboration,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Standard BioTools Leadership, Culture, and AI Strategy — CEO Michael Egholm, Glassdoor reviews, management tenure 1.8 years, AI/ML roadmap, 2025-2026</w:t>
      </w:r>
    </w:p>
    <w:p>
      <w:pPr>
        <w:spacing w:before="20" w:after="20"/>
        <w:ind w:left="170"/>
      </w:pPr>
      <w:r>
        <w:rPr>
          <w:rFonts w:ascii="Calibri" w:hAnsi="Calibri"/>
          <w:b/>
          <w:color w:val="4A6B25"/>
          <w:sz w:val="15"/>
        </w:rPr>
        <w:t xml:space="preserve">4. </w:t>
      </w:r>
      <w:r>
        <w:rPr>
          <w:rFonts w:ascii="Calibri" w:hAnsi="Calibri"/>
          <w:b w:val="0"/>
          <w:color w:val="3A4A28"/>
          <w:sz w:val="17"/>
        </w:rPr>
        <w:t>Standard BioTools ESG and Social Responsibility — UN Global Compact alignment, inaugural ESG report, investors.standardbio.com,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Simply Wall St — LAB statistics: stock $1.15, D/E 5%, cash $455M, market cap $460M, Treeline merger $2.5B,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