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LCTX</w:t>
      </w:r>
      <w:r>
        <w:rPr>
          <w:rFonts w:ascii="Calibri" w:hAnsi="Calibri"/>
          <w:b/>
          <w:color w:val="1A2010"/>
          <w:sz w:val="40"/>
        </w:rPr>
        <w:t xml:space="preserve">  Lineage Cell Therapeutics, Inc.</w:t>
      </w:r>
    </w:p>
    <w:p>
      <w:pPr>
        <w:spacing w:after="120"/>
      </w:pPr>
      <w:r>
        <w:rPr>
          <w:rFonts w:ascii="Calibri" w:hAnsi="Calibri"/>
          <w:b/>
          <w:color w:val="6E8450"/>
          <w:sz w:val="18"/>
        </w:rPr>
        <w:t>GROWTH SLEEVE · 2026-08-06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American · United States</w:t>
      </w:r>
    </w:p>
    <w:p>
      <w:pPr>
        <w:spacing w:after="80"/>
      </w:pPr>
      <w:r>
        <w:rPr>
          <w:rFonts w:ascii="Calibri" w:hAnsi="Calibri"/>
          <w:b w:val="0"/>
          <w:color w:val="3A4A28"/>
          <w:sz w:val="20"/>
        </w:rPr>
        <w:t>Lineage Cell Therapeutics is a clinical-stage biotechnology company developing 'off-the-shelf' allogeneic cell therapies for degenerative diseases affecting the nervous system, including blindness, spinal cord injury, corneal disease, and hearing loss. The company's proprietary technology enables manufacture of specialized human cells to replace or support cells lost to disease, aging, or injury. Key programs include OpRegen (retinal, partnered with Roche/Genentech), OPC1 (spinal cord injury), COR1 (corneal endothelial disease), and an auditory program (partnered with William Demant). Cash runway extends into Q2 2028.</w:t>
      </w:r>
    </w:p>
    <w:p>
      <w:r>
        <w:rPr>
          <w:rFonts w:ascii="Calibri" w:hAnsi="Calibri"/>
          <w:b/>
          <w:color w:val="6E8450"/>
          <w:sz w:val="18"/>
        </w:rPr>
        <w:t>50 Employees · https://lineagecell.com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Lineage has advanced multiple novel cell therapy programs from preclinical to clinical stage over the past five years, including the OpRegen retinal program now in Phase 2a GAlette enrollment with Roche/Genentech, OPC1 for spinal cord injury reaching its second chronic patient in the DOSED study, and the recent launch of COR1 for corneal endothelial disease [1]. The AlloSCOPE '5D' manufacturing process was developed to reduce production costs and improve scalability. These are genuine therapeutic advances, but all remain clinical-stage with no commercial products yet launched. AI Deployment (0/2): Lineage does not deploy AI products and has not reported quantified AI-driven cost savings or revenue. The company's work is biological and clinical, not technology-driven in the AI sense. Market Share (0/2): Pre-commercial company with no market share. Revenue of $14.78M TTM consists entirely of collaboration and research agreement payments from Roche/Genentech and William Demant, not product sales [1]. Product Pipeline (2/2): Exceptional pipeline visibility for a company this size: OpRegen Phase 2a GAlette trial enrolling with Roche/Genentech and positive 3-year Phase 1/2a data, OPC1 DOSED study treating its second chronic spinal cord injury patient, COR1 for corneal disease just launched, and auditory neuropathy program funded by William Demant collaboration [1]. Specific programs with named partners and identifiable milestones. R&amp;D Intensity (1/1): As a clinical-stage biotech, essentially all operating expenses ($9.3M quarterly) are R&amp;D-related against $1.73M in quarterly revenue — R&amp;D intensity far exceeds any industry benchmark.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Lineage's purpose — developing therapies to restore function for patients with devastating conditions including paralysis from spinal cord injury, blindness from retinal degeneration, corneal disease, and hearing loss — is specific, thoughtful, and connects to a larger purpose of healing people where no alternatives exist [2]. The focus on 'off-the-shelf' cell therapies that can be manufactured at scale and delivered to patients reflects genuine intentionality about making regenerative medicine accessible, not just scientifically possible. This differentiates clearly from peers and reflects years of consistent strategic focus. Community Impact (0/2): No evidence of charitable programs, foundation giving, or community investment beyond the core therapeutic mission was identified. The company's small scale (~50 employees) limits the scope for community programs. Employee Retention (0/2): No specific employee retention, tenure, or turnover data is available for this ~50-person company. CEO Culley has served since 2018 (8 years), suggesting leadership stability, but broader workforce data is unavailable. Insider Buying (1/2): CEO Brian Culley purchased 40,000 shares at $0.60 ($24,000 total) in November 2024, and insiders collectively own 26.8% of the company [3]. No insider selling was recorded. The purchase was minimal in dollar terms but represents a modest positive signal. The high insider ownership percentage demonstrates long-term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with significant data limitations (Forward P/E, PEG, and 5-year revenue CAGR unavailable). Lineage's standout metric is D/E of 5% — the company carries virtually no debt ($2.39M vs. $53.38M cash), reflecting a clean balance sheet funded by equity and partnership revenue [4]. Revenue growth of approximately 15% is positive, driven by new collaboration revenue from the William Demant research agreement. However, ROE of -98.2% (reflecting $64.2M net loss on a tiny equity base) and deeply negative operating margin of -155% score 0 — expected for a pre-commercial biotech burning $22.6M annually in free cash flow. The $53.4M cash position provides runway into Q2 2028, but the company will likely need additional capital raises that dilute existing shareholders. Price-to-book of 5.28x on a $0.22 book value reflects the speculative premium embedded in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Lineage's therapeutic mission — restoring function for patients with spinal cord injuries, blindness, and hearing loss — is inherently an infinite-game cause. Developing therapies for conditions where patients have no alternatives is purposeful work that transcends quarterly financial performance. However, as a small, pre-commercial biotech, Lineage lacks the organizational depth to demonstrate trusting teams, existential flexibility, or competitive awareness at the level Sinek would evaluate. The company has persisted through years of losses to advance its science, which reflects endurance, but the ultimate question is whether the organization can survive long enough to deliver on its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therapies that restore sight to the blind (OpRegen), mobility to the paralyzed (OPC1), and hearing to the deaf is as close to a genuine Just Cause as biotechnology gets — these are conditions where patients have no alternatives and the human impact of success would be transformative [1][2]. The company has maintained this focus through years of losses, multiple capital raises, and a stock price decline from over $3 to $1.14. However, the cause hasn't been validated by decades of consistent execution — Lineage is still pre-commercial, the key partnerships with Roche/Genentech are relatively recent, and the science remains unproven in large controlled trials.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satisfaction, retention, or cultural data is available for this approximately 50-person company. CEO Culley's 8-year tenure and Chairman Mulroy's service since 2014 suggest leadership stability, but the organizational scale is too small to evaluate trusting teams in Sinek's framework. The company's precarious financial position ($53.4M cash against $22.6M annual burn) creates inherent job insecurity that can undermine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Lineage acknowledging competitors' strengths or using competitive dynamics for self-improvement. The cell therapy space includes companies like BlueRock Therapeutics (Bayer), Vertex Cell, and Astellas Pharma in regenerative medicine, but Lineage's communications focus on its own pipeline progress rather than competitive positioning or learning from peers.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Lineage evolved from BioTime (a broader biotechnology holding company) to its current focused cell therapy identity, which represents some strategic narrowing. However, this occurred over many years through asset sales and portfolio simplification rather than a dramatic, cause-driven strategic pivot. The company's therapeutic approach — allogeneic cell transplantation — has remained consistent since refocusing, and the company is too small and capital-constrained to execute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Continuing to fund multiple clinical programs for spinal cord injury, retinal disease, corneal disease, and hearing loss — despite years of net losses, a sub-$2 stock price, and a $284M market cap — requires genuine leadership conviction [1]. The decision to withdraw the CIRM clinical trial application for OPC1 after receiving feedback, rather than forcing a suboptimal trial design, shows scientific discipline over desperation for catalysts. CEO Culley's personal stock purchase, though small ($24K), signals personal commitment at a low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Lineage Cell Therapeutics offers speculative exposure to regenerative medicine with multiple clinical programs addressing devastating unmet medical needs. The OpRegen partnership with Roche/Genentech — now in Phase 2a GAlette enrollment with positive 3-year Phase 1/2a data — provides validation from a top-tier pharma partner and de-risks the lead program [1]. The pipeline spanning retinal disease, spinal cord injury, corneal disease, and hearing loss creates multiple potential value inflection points. D/E of 5% and $53.4M in cash (runway into Q2 2028) provide financial stability unusual for a pre-commercial biotech. At $1.14 with a $284M market cap, success in any single program could generate outsized returns. CEO Culley's 8-year tenure and 26.8% insider ownership demonstrate leadership alignment.</w:t>
      </w:r>
    </w:p>
    <w:p>
      <w:pPr>
        <w:spacing w:after="120"/>
      </w:pPr>
      <w:r>
        <w:rPr>
          <w:rFonts w:ascii="Calibri" w:hAnsi="Calibri"/>
          <w:b w:val="0"/>
          <w:color w:val="3A4A28"/>
          <w:sz w:val="20"/>
        </w:rPr>
        <w:t>The bear case is the fundamental uncertainty of clinical-stage biotech investing. Lineage generates $14.78M in TTM revenue from collaboration agreements while burning $22.6M annually in free cash flow — the company is entirely dependent on clinical trial success to create value [1][4]. ROE of -98% and operating margin of -155% reflect a business that consumes capital without generating returns. The $53.4M cash position, while providing runway into Q2 2028, will likely require dilutive capital raises before commercialization. The withdrawal of the CIRM application for OPC1 raises questions about the regulatory path for the spinal cord injury program. Cell therapy manufacturing at commercial scale remains unproven, and the AlloSCOPE process has not been validated in registration-quality trials. The Inspire score of -62 (MISALIGNED) due to embryonic stem cell use creates exclusion risk for faith-aligned and ESG-restricted investors. At $1.14, the stock is a binary bet on clinical trial outcomes — most clinical-stage biotechs fail.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OpRegen Phase 2a GAlette trial data readout from Roche/Genentech partnership — positive controlled data in geographic atrophy (dry AMD) would validate the platform and could trigger partnership expansion or increased milestone payments [1]</w:t>
      </w:r>
    </w:p>
    <w:p>
      <w:pPr>
        <w:spacing w:before="40" w:after="40"/>
        <w:ind w:left="283"/>
      </w:pPr>
      <w:r>
        <w:rPr>
          <w:rFonts w:ascii="Calibri" w:hAnsi="Calibri"/>
          <w:b/>
          <w:color w:val="4A6B25"/>
          <w:sz w:val="20"/>
        </w:rPr>
        <w:t xml:space="preserve">2. </w:t>
      </w:r>
      <w:r>
        <w:rPr>
          <w:rFonts w:ascii="Calibri" w:hAnsi="Calibri"/>
          <w:b w:val="0"/>
          <w:color w:val="3A4A28"/>
          <w:sz w:val="20"/>
        </w:rPr>
        <w:t>OPC1 DOSED study clinical updates on chronic spinal cord injury patients — functional improvement in paralyzed patients would be a landmark result in regenerative medicine with no approved competitors [1]</w:t>
      </w:r>
    </w:p>
    <w:p>
      <w:pPr>
        <w:spacing w:before="40" w:after="40"/>
        <w:ind w:left="283"/>
      </w:pPr>
      <w:r>
        <w:rPr>
          <w:rFonts w:ascii="Calibri" w:hAnsi="Calibri"/>
          <w:b/>
          <w:color w:val="4A6B25"/>
          <w:sz w:val="20"/>
        </w:rPr>
        <w:t xml:space="preserve">3. </w:t>
      </w:r>
      <w:r>
        <w:rPr>
          <w:rFonts w:ascii="Calibri" w:hAnsi="Calibri"/>
          <w:b w:val="0"/>
          <w:color w:val="3A4A28"/>
          <w:sz w:val="20"/>
        </w:rPr>
        <w:t>COR1 program for corneal endothelial disease represents a new therapeutic vertical with high unmet need — successful IND-enabling data and clinical entry would add a third clinical asset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all programs remain in early-to-mid clinical stage with no approved products — Phase 2 failure rates in cell therapy exceed 50%, and any negative readout could collapse the equity value [1]</w:t>
      </w:r>
    </w:p>
    <w:p>
      <w:pPr>
        <w:spacing w:before="40" w:after="40"/>
        <w:ind w:left="283"/>
      </w:pPr>
      <w:r>
        <w:rPr>
          <w:rFonts w:ascii="Calibri" w:hAnsi="Calibri"/>
          <w:b/>
          <w:color w:val="4A6B25"/>
          <w:sz w:val="20"/>
        </w:rPr>
        <w:t xml:space="preserve">2. </w:t>
      </w:r>
      <w:r>
        <w:rPr>
          <w:rFonts w:ascii="Calibri" w:hAnsi="Calibri"/>
          <w:b w:val="0"/>
          <w:color w:val="3A4A28"/>
          <w:sz w:val="20"/>
        </w:rPr>
        <w:t>Capital dilution risk: $53.4M cash against $22.6M annual burn requires additional capital raises before any program reaches commercialization — at a $284M market cap and $1.14 stock price, future equity raises will be severely dilutive [4]</w:t>
      </w:r>
    </w:p>
    <w:p>
      <w:pPr>
        <w:spacing w:before="40" w:after="40"/>
        <w:ind w:left="283"/>
      </w:pPr>
      <w:r>
        <w:rPr>
          <w:rFonts w:ascii="Calibri" w:hAnsi="Calibri"/>
          <w:b/>
          <w:color w:val="4A6B25"/>
          <w:sz w:val="20"/>
        </w:rPr>
        <w:t xml:space="preserve">3. </w:t>
      </w:r>
      <w:r>
        <w:rPr>
          <w:rFonts w:ascii="Calibri" w:hAnsi="Calibri"/>
          <w:b w:val="0"/>
          <w:color w:val="3A4A28"/>
          <w:sz w:val="20"/>
        </w:rPr>
        <w:t>Embryonic stem cell controversy: Inspire score of -62 (MISALIGNED) with 'Embryonic Stem Cells' as the sole negative attribution creates automatic exclusion from faith-aligned and certain ESG-restricted investment mandates, limiting the investor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Cell therapy is a physical, biological process that AI structurally cannot displace. Lineage's core competency is manufacturing living human cells — retinal pigment epithelium cells, oligodendrocyte progenitor cells, corneal endothelial cells — that are transplanted into patients to replace damaged tissue [2]. This requires biological manufacturing, clinical trial execution with human subjects, FDA regulatory navigation, and surgical delivery. AI cannot substitute for cellular transplantation. AI may enhance aspects of cell therapy development (computational biology, trial design optimization, manufacturing quality control), but the therapy itself is irreducibly biological. No analyst has flagged AI as a displacement risk for cell therapy companies. AI Opportunity (0/1): Lineage generates no revenue from AI products or services. The AlloSCOPE manufacturing process uses proprietary technology but is biological, not AI-driven.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Lineage Cell Therapeutics Q1 2026 Earnings Release and 10-Q — Revenue, Pipeline Updates, OpRegen, OPC1, COR1, and Cash Position, May 2026</w:t>
      </w:r>
    </w:p>
    <w:p>
      <w:pPr>
        <w:spacing w:before="20" w:after="20"/>
        <w:ind w:left="170"/>
      </w:pPr>
      <w:r>
        <w:rPr>
          <w:rFonts w:ascii="Calibri" w:hAnsi="Calibri"/>
          <w:b/>
          <w:color w:val="4A6B25"/>
          <w:sz w:val="15"/>
        </w:rPr>
        <w:t xml:space="preserve">2. </w:t>
      </w:r>
      <w:r>
        <w:rPr>
          <w:rFonts w:ascii="Calibri" w:hAnsi="Calibri"/>
          <w:b w:val="0"/>
          <w:color w:val="3A4A28"/>
          <w:sz w:val="17"/>
        </w:rPr>
        <w:t>Lineage Cell Therapeutics Leadership, Pipeline, and AlloSCOPE Manufacturing — Company Website and LinkedIn,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Lineage Cell Therapeutics Insider Trading Activity — SEC Form 4 Filings, CEO Culley Purchase, and GuruFocus Insider Data, 2024-2026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LCTX Key Statistics, Valuation Ratios,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