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LEG</w:t>
      </w:r>
      <w:r>
        <w:rPr>
          <w:rFonts w:ascii="Calibri" w:hAnsi="Calibri"/>
          <w:b/>
          <w:color w:val="1A2010"/>
          <w:sz w:val="40"/>
        </w:rPr>
        <w:t xml:space="preserve">  Leggett &amp; Platt, Incorporated</w:t>
      </w:r>
    </w:p>
    <w:p>
      <w:pPr>
        <w:spacing w:after="120"/>
      </w:pPr>
      <w:r>
        <w:rPr>
          <w:rFonts w:ascii="Calibri" w:hAnsi="Calibri"/>
          <w:b/>
          <w:color w:val="6E8450"/>
          <w:sz w:val="18"/>
        </w:rPr>
        <w:t>GROWTH SLEEVE · 2026-07-27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Leggett &amp; Platt designs and manufactures engineered components for bedding (innersprings, specialty foam, adjustable bases), furniture (mechanisms, seat suspensions), flooring (carpet cushion, underlayment), and specialty wire products. Founded in 1883 in Carthage, Missouri, the company divested its Aerospace Products Group in 2025 and is now subject to a pending all-stock merger with Somnigroup valued at approximately $2.5B, with shareholder vote scheduled for August 20, 2026. Q1 2026 revenue was $918.2M, down 10% YoY.</w:t>
      </w:r>
    </w:p>
    <w:p>
      <w:r>
        <w:rPr>
          <w:rFonts w:ascii="Calibri" w:hAnsi="Calibri"/>
          <w:b/>
          <w:color w:val="6E8450"/>
          <w:sz w:val="18"/>
        </w:rPr>
        <w:t>15,000 Employees · https://leggett.com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new product launches or business model transformations in the past 5 years. Revenue has declined from $5.15B in 2022 to an annualized ~$3.7B in 2026, reflecting a shrinking business — the divestiture of the Aerospace Products Group in 2025 removed the most technologically differentiated segment [1]. AI Deployment (0/2): No AI products shipping to customers and no quantified AI-driven efficiency gains identified in earnings materials or press releases. Market Share (1/2): Leggett remains the dominant U.S. supplier of bedding innerspring components and a meaningful player in specialty wire products, but market position is eroding as Q1 2026 revenue declined 10.2% YoY to $918.2M amid persistent soft demand in residential markets [1]. Product Pipeline (0/2): No next-generation products announced with specific timelines or revenue visibility; the pending Somnigroup acquisition effectively freezes independent product development [2]. R&amp;D Intensity (1/1): The company's WIN 70/30 innovation program (70% internal, 30% external idea generation) suggests at-or-near industry average R&amp;D investment for diversified industrials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Leggett &amp; Platt's purpose centers on 'We Pioneer' and 'creating innovative products that people need' — a generic mission interchangeable with virtually any manufacturer [3]. The 143-year heritage provides credibility but the company lacks a distinctive purpose beyond commercial success. Community Impact (1/2): The company publishes annual Sustainability Reports covering GHG emissions reduction, waste management, ethical supply chain practices, and completed its first materiality assessment in 2022 [4]. General corporate sustainability programs but no standout charitable dollar amounts or distinctive community investment. Employee Retention (1/2): Leggett's ~15,000-employee workforce operates from the stable Carthage, Missouri headquarters with eight stated 'Leggett DNA' cultural qualities, suggesting organizational continuity over 143 years [3]. However, Glassdoor reviews cite 'old guard failing to innovate' and rate Professional Development and Office Culture as top improvement areas [3]. No specific turnover or tenure data available. Insider Buying (0/2): No evidence of meaningful open-market insider purchases during the stock's multi-year decline from $50+ to $11; the pending merger further complicates insider transaction analysis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Growth stock formula (dividend yield 1.81% below 2% threshold, PEG excluded due to negative earnings growth). Forward P/E of 10.94x scores 1.0 — deep discount pricing anchored by the pending Somnigroup merger [5]. ROE of 27.49% exceeds the 15% target at 1.0 (2x weight), though partly flattered by a reduced equity base. D/E of 162% scores 0.60 — elevated leverage for a shrinking business. Profit margin of 5.81% scores 0.29 — thin margins well below the 20% ideal. The most severe drags are revenue growth: YoY of -10.2% scores 0.33 [1], and 5-year CAGR of -4.9% scores 0.01 (2x weight), near floor [5]. Weighted sum 4.23/8 = 5. Liquidity floor cleared: ~$16.6M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Leggett &amp; Platt's 143-year operating history once represented the quintessential infinite game player, but years of revenue decline from $5.15B to under $4B, an 89% dividend cut destroying 50+ years of Dividend Aristocrat status, and the pending $2.5B Somnigroup acquisition reveal a company that has exhausted its strategic options [1][2]. The finite game pressures won — management optimized for cost-cutting and portfolio shrinkage rather than investing in long-term competitive capabilities, and the company is now being absorbed rather than continuing to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 Pioneer' represents a cause that exists but is shallow — after 143 years, the company's identity is tied to manufacturing diversified engineered products, but no deeper purpose beyond production efficiency and scale guides strategic decisions [3]. The pending Somnigroup merger at approximately $2.5B effectively ends the company's independent Just Cause, signaling that leadership could not sustain a vision compelling enough to maintain independence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maintained stable manufacturing operations from its Carthage, Missouri headquarters through a difficult multi-year decline, with eight stated 'Leggett DNA' cultural values providing some cultural identity [3]. However, headcount has declined from 20,000+ to ~15,000 through divestitures and restructuring, Glassdoor reviews describe an 'old guard failing to innovate,' and the pending acquisition creates significant workforce uncertainty [3].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in management commentary. Earnings discussions focused on demand softness, cost pressures, and the merger rationale rather than competitive improvement or learning from rivals' strengths [1]. The disruption of traditional bedding channels by DTC brands caught Leggett off-guard, and the decision to sell to Somnigroup suggests inability to compete independently.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Leggett &amp; Platt clung to its legacy diversified manufacturing model as revenue declined 28% from $5.15B (2022) to an annualized ~$3.7B (2026) [1]. The Aerospace divestiture removed the most differentiated segment, and the ultimate resolution was accepting acquisition by Somnigroup rather than reinventing the business [2]. The company shrank rather than pivoted — no evidence of strategic adaptation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89% dividend cut from $1.82 to $0.20 annually destroyed 50+ years of Dividend Aristocrat status and was forced by financial necessity rather than courageous reinvestment [1]. Management withdrew 2026 guidance after the merger announcement, and the decision to sell to Somnigroup at ~$2.5B — with shareholders receiving only 9% of the combined entity — represents capitulation rather than courage [2]. No examples of leadership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Leggett &amp; Platt at 10.94x forward earnings is effectively a merger arbitrage play on the pending Somnigroup all-stock acquisition, which has cleared antitrust review (HSR waiting period expired June 3, 2026) and awaits shareholder vote on August 20, 2026 [2][5]. ROE of 27.49% demonstrates efficient capital deployment despite revenue headwinds, and the company remains the dominant U.S. supplier of bedding innerspring components with high switching costs. The Somnigroup combination would create a vertically integrated bedding platform spanning components through finished mattress retail. The Inspire Insight score of 45 (ALIGNED) and low ESG controversy rating provide faith-based investment appeal [4].</w:t>
      </w:r>
    </w:p>
    <w:p>
      <w:pPr>
        <w:spacing w:after="120"/>
      </w:pPr>
      <w:r>
        <w:rPr>
          <w:rFonts w:ascii="Calibri" w:hAnsi="Calibri"/>
          <w:b w:val="0"/>
          <w:color w:val="3A4A28"/>
          <w:sz w:val="20"/>
        </w:rPr>
        <w:t>The bear case is that Leggett is a structurally declining business nearing the end of its independent existence. Revenue has fallen 28% from $5.15B in 2022 to an annualized ~$3.7B in 2026, with Q1 2026 showing a 10.2% YoY decline and adjusted EBITDA margin compressing to just 7.8% [1]. Profit margin of 5.81% and D/E of 162% with $1.66B in debt leave minimal balance sheet flexibility [5]. The 89% dividend cut destroyed the income thesis that supported the stock for decades, and shareholders will own only 9% of the combined Somnigroup entity — a deeply dilutive outcome [2]. If the merger fails, the standalone company faces continued revenue erosion, no growth strategy, no innovation pipeline, and no AI strategy. The stock has traded from $50+ to $11 in three years, and the declining trajectory shows no organic reversal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Somnigroup merger expected to close by year-end 2026 — antitrust clearance achieved June 3, shareholder vote August 20, providing defined timeline for value realization from the $2.5B all-stock transaction [2]</w:t>
      </w:r>
    </w:p>
    <w:p>
      <w:pPr>
        <w:spacing w:before="40" w:after="40"/>
        <w:ind w:left="283"/>
      </w:pPr>
      <w:r>
        <w:rPr>
          <w:rFonts w:ascii="Calibri" w:hAnsi="Calibri"/>
          <w:b/>
          <w:color w:val="4A6B25"/>
          <w:sz w:val="20"/>
        </w:rPr>
        <w:t xml:space="preserve">2. </w:t>
      </w:r>
      <w:r>
        <w:rPr>
          <w:rFonts w:ascii="Calibri" w:hAnsi="Calibri"/>
          <w:b w:val="0"/>
          <w:color w:val="3A4A28"/>
          <w:sz w:val="20"/>
        </w:rPr>
        <w:t>Metal margin expansion in trade rod partially offsetting volume declines in Q1 2026, with potential for margin recovery if raw material tailwinds persist through H2 2026 [1]</w:t>
      </w:r>
    </w:p>
    <w:p>
      <w:pPr>
        <w:spacing w:before="40" w:after="40"/>
        <w:ind w:left="283"/>
      </w:pPr>
      <w:r>
        <w:rPr>
          <w:rFonts w:ascii="Calibri" w:hAnsi="Calibri"/>
          <w:b/>
          <w:color w:val="4A6B25"/>
          <w:sz w:val="20"/>
        </w:rPr>
        <w:t xml:space="preserve">3. </w:t>
      </w:r>
      <w:r>
        <w:rPr>
          <w:rFonts w:ascii="Calibri" w:hAnsi="Calibri"/>
          <w:b w:val="0"/>
          <w:color w:val="3A4A28"/>
          <w:sz w:val="20"/>
        </w:rPr>
        <w:t>Post-merger integration synergies between LEG's component manufacturing scale and Somnigroup's retail distribution could unlock cost efficiencies in the fragmented bedding supply chain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failure risk — if shareholders vote against the Somnigroup acquisition on August 20, 2026, the standalone company faces continued revenue decline with no growth strategy, depleted dividend, and $1.66B debt burden [2]</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bedding and furniture demand — Q1 2026 revenue fell 10.2% YoY to $918.2M with EBITDA margin of 7.8%, management withdrew guidance, and residential markets remain in a multi-year depression [1]</w:t>
      </w:r>
    </w:p>
    <w:p>
      <w:pPr>
        <w:spacing w:before="40" w:after="40"/>
        <w:ind w:left="283"/>
      </w:pPr>
      <w:r>
        <w:rPr>
          <w:rFonts w:ascii="Calibri" w:hAnsi="Calibri"/>
          <w:b/>
          <w:color w:val="4A6B25"/>
          <w:sz w:val="20"/>
        </w:rPr>
        <w:t xml:space="preserve">3. </w:t>
      </w:r>
      <w:r>
        <w:rPr>
          <w:rFonts w:ascii="Calibri" w:hAnsi="Calibri"/>
          <w:b w:val="0"/>
          <w:color w:val="3A4A28"/>
          <w:sz w:val="20"/>
        </w:rPr>
        <w:t>D/E of 162% constrains strategic flexibility in a prolonged housing downturn, with the 89% dividend cut having destroyed the Dividend Aristocrat status that attracted income investors for decades, eliminating a key shareholder base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Leggett &amp; Platt's core business is physical manufacturing of engineered components — innersprings, specialty foam, wire forms, and industrial rod — operations requiring specialized metallurgy, physical production infrastructure, and supply chain logistics that AI structurally cannot displace [1]. Mattress and furniture manufacturers need physical springs and foam regardless of AI advances. However, AI-optimized manufacturing by competitors could erode Leggett's cost position if the company fails to adopt automation, and AI-powered direct-to-consumer mattress brands (Casper, Purple) have already disrupted traditional bedding channels by leveraging AI-driven marketing and supply chain optimization. The company has no disclosed AI strategy, creating competitive risk even if the core product category is physically immune. AI Opportunity (0/1): No AI revenue or AI-powered products identified. The company has not disclosed any AI-driven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Leggett &amp; Platt Q1 2026 Earnings Release — Revenue $918.2M (-10.2% YoY), Adjusted EPS $0.15, Adjusted EBITDA $71.6M (7.8% margin), May 7, 2026</w:t>
      </w:r>
    </w:p>
    <w:p>
      <w:pPr>
        <w:spacing w:before="20" w:after="20"/>
        <w:ind w:left="170"/>
      </w:pPr>
      <w:r>
        <w:rPr>
          <w:rFonts w:ascii="Calibri" w:hAnsi="Calibri"/>
          <w:b/>
          <w:color w:val="4A6B25"/>
          <w:sz w:val="15"/>
        </w:rPr>
        <w:t xml:space="preserve">2. </w:t>
      </w:r>
      <w:r>
        <w:rPr>
          <w:rFonts w:ascii="Calibri" w:hAnsi="Calibri"/>
          <w:b w:val="0"/>
          <w:color w:val="3A4A28"/>
          <w:sz w:val="17"/>
        </w:rPr>
        <w:t>Somnigroup-Leggett &amp; Platt Merger Agreement (DEFM14A) — $2.5B All-Stock Transaction at 0.1455 Exchange Ratio, Antitrust Cleared June 2026, Shareholder Vote August 20, 2026</w:t>
      </w:r>
    </w:p>
    <w:p>
      <w:pPr>
        <w:spacing w:before="20" w:after="20"/>
        <w:ind w:left="170"/>
      </w:pPr>
      <w:r>
        <w:rPr>
          <w:rFonts w:ascii="Calibri" w:hAnsi="Calibri"/>
          <w:b/>
          <w:color w:val="4A6B25"/>
          <w:sz w:val="15"/>
        </w:rPr>
        <w:t xml:space="preserve">3. </w:t>
      </w:r>
      <w:r>
        <w:rPr>
          <w:rFonts w:ascii="Calibri" w:hAnsi="Calibri"/>
          <w:b w:val="0"/>
          <w:color w:val="3A4A28"/>
          <w:sz w:val="17"/>
        </w:rPr>
        <w:t>Leggett &amp; Platt Corporate Website and Comparably/Glassdoor — 'We Pioneer' Mission, Leggett DNA Culture, Employee Reviews, 2026</w:t>
      </w:r>
    </w:p>
    <w:p>
      <w:pPr>
        <w:spacing w:before="20" w:after="20"/>
        <w:ind w:left="170"/>
      </w:pPr>
      <w:r>
        <w:rPr>
          <w:rFonts w:ascii="Calibri" w:hAnsi="Calibri"/>
          <w:b/>
          <w:color w:val="4A6B25"/>
          <w:sz w:val="15"/>
        </w:rPr>
        <w:t xml:space="preserve">4. </w:t>
      </w:r>
      <w:r>
        <w:rPr>
          <w:rFonts w:ascii="Calibri" w:hAnsi="Calibri"/>
          <w:b w:val="0"/>
          <w:color w:val="3A4A28"/>
          <w:sz w:val="17"/>
        </w:rPr>
        <w:t>Leggett &amp; Platt 2023-2024 Sustainability Reports — ESG Materiality Assessment, GHG Targets, Ethical Supply Chain Programs</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LEG Key Statistics: Forward P/E 10.94x, ROE 27.49%, D/E 162%, Profit Margin 5.81%,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