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LU</w:t>
      </w:r>
      <w:r>
        <w:rPr>
          <w:rFonts w:ascii="Calibri" w:hAnsi="Calibri"/>
          <w:b/>
          <w:color w:val="1A2010"/>
          <w:sz w:val="40"/>
        </w:rPr>
        <w:t xml:space="preserve">  Lufax Holding Ltd</w:t>
      </w:r>
    </w:p>
    <w:p>
      <w:pPr>
        <w:spacing w:after="120"/>
      </w:pPr>
      <w:r>
        <w:rPr>
          <w:rFonts w:ascii="Calibri" w:hAnsi="Calibri"/>
          <w:b/>
          <w:color w:val="6E8450"/>
          <w:sz w:val="18"/>
        </w:rPr>
        <w:t>GROWTH SLEEVE · 2026-07-28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NYSE · China</w:t>
      </w:r>
    </w:p>
    <w:p>
      <w:pPr>
        <w:spacing w:after="80"/>
      </w:pPr>
      <w:r>
        <w:rPr>
          <w:rFonts w:ascii="Calibri" w:hAnsi="Calibri"/>
          <w:b w:val="0"/>
          <w:color w:val="3A4A28"/>
          <w:sz w:val="20"/>
        </w:rPr>
        <w:t>Lufax Holding is a Chinese fintech company backed by Ping An Insurance, providing credit facilitation, consumer finance, and wealth management services. Originally a peer-to-peer lending platform, Lufax pivoted to institutional credit facilitation and consumer finance after China's P2P lending crackdown. The company reported FY2024 revenue of CN¥24.5B (down 41% YoY) and a net loss of CN¥3.87B, reflecting ongoing business contraction.</w:t>
      </w:r>
    </w:p>
    <w:p>
      <w:r>
        <w:rPr>
          <w:rFonts w:ascii="Calibri" w:hAnsi="Calibri"/>
          <w:b/>
          <w:color w:val="6E8450"/>
          <w:sz w:val="18"/>
        </w:rPr>
        <w:t>35,875 Employees · https://www.lufaxholding.com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Lufax successfully pivoted from P2P lending to credit facilitation and consumer finance, avoiding the industry's collapse, but the transformation has not stemmed revenue decline — FY2024 revenue of CN¥24.5B fell 41% from CN¥41.5B in FY2023 and represents a 65%+ decline from the 2021 peak of CN¥54.6B [1][3]. AI Deployment (1/2): The company operates an AI Lab and deployed AI-powered robo-advisory tools that reportedly doubled average investment horizons to 200 days, plus AI bots for investor education, though these innovations have not reversed the revenue decline [2]. Market Share (0/2): Lufax is losing share in China's fintech landscape as larger technology platforms (Ant Group, JD Finance, WeBank) and traditional banks build superior fintech capabilities, while regulatory constraints limit growth options [2]. Pipeline (0/2): No next-generation products announced with specific timelines; the CEO transition to Xiang Ji creates strategic uncertainty, and management has not articulated a clear growth roadmap beyond stabilization [1]. R&amp;D Intensity (1/1): Lufax invests in technology and AI relative to fintech peers, maintaining platform capabilities despite revenue headwinds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Lufax's 'Four More Finance' strategy (warming, efficient, reliable, sustainable) is generic corporate language interchangeable with any Chinese fintech platform and has not differentiated the company or arrested decline [4]. Community Impact (1/2): Lufax employs ~35,875 people and has historically served millions of small business borrowers in China, providing financial access to underserved segments through its consumer finance platform. However, shrinking operations are reducing this community impact [1]. Employee Retention (0/2): CEO transition to Xiang Ji (Co-CEO from October 2025) signals ongoing leadership instability; Glassdoor reviews (only 9) cite bureaucracy, unstable projects, and lack of engineering culture [2]. Insider Buying (1/2): Ping An Insurance remains the controlling shareholder providing structural alignment, but no evidence of meaningful open-market insider buying by executives amid the company's challenges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for a Growth stock. Lufax's financial profile is severely challenged. FY2024 revenue of CN¥24.5B declined 41% YoY with a multi-year CAGR of approximately -29%, reflecting systemic business contraction [1]. ROE of -3.5% and profit margin of approximately -14% indicate the company is unprofitable [3]. D/E of 55% is the lone bright spot, reflecting conservative leverage for a financial services company. Forward P/E of ~12x reflects some recovery expectation but at $1.82 stock price the $1.6B market cap trades well below book value, signaling distress pricing. Cash of ~CN¥58B against ~CN¥48B debt provides a net cash cushion. Calculation: D/E 1.0×1 + ROE 0×2 + RevYoY 0×1 + Rev5yr 0×2 + FwdPE 1.0×1 + ProfMgn 0×1 = 2.0/8 × 10 → 2. Liquidity floor narrowly cleared: ~1.11M avg vol × $1.82 = $2.0M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Lufax's trajectory reflects finite game thinking — reacting to regulatory pressure, managing decline, and cycling through leadership rather than building from a durable purpose. The P2P-to-consumer-finance pivot was survival-driven, not cause-driven. The CEO transition creates further strategic uncertainty. The company is playing to survive rather than playing to build something enduring, with no evidence of a just cause that inspires employees or guides strategic decisions.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Lufax's stated purpose of 'inclusive financial services through technology' exists but has been rendered shallow by the company's declining trajectory — it reads as marketing rather than a guide for strategic decisions [4]. The serial pivots (P2P to credit facilitation to consumer finance) suggest strategy follows regulation, not purpose. The 'Four More Finance' framing is corporate language with no evidence it inspires sacrifice or differentiates from any peer.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transition (Xiang Ji as Co-CEO from October 2025, succeeding departing leadership) signals ongoing instability, which is a hallmark of low-trust organizational environments [1]. Past accounting scandal and regulatory challenges have likely created a fear-based culture focused on compliance and survival. Glassdoor reviews (only 9) cite bureaucracy, unstable projects, and high dependence on team assignment, with no evidence of employee empowerment or psychological safety [2]. A company losing 41% revenue annually is almost certainly experiencing workforce anxiety and morale erosion.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Lufax acknowledges competitive pressure from Ant Group, WeBank, JD Finance, and traditional banks developing fintech capabilities, but the competitive language is defensive and contraction-oriented rather than growth-oriented [2]. The company's response to competitive pressure has been retrenchment rather than using rivals' strengths as motivation for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Lufax demonstrated meaningful flexibility by successfully exiting P2P lending before the industry collapsed, pivoting to credit facilitation and consumer finance [3]. This was a genuine strategic transformation that preserved the company when many P2P peers were liquidated. However, the pivot was forced by regulation rather than driven by purpose or strategic vision, and the overall business continues to decline significantly despite the transformation.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The P2P exit was regulatory compliance, not a principled choice to sacrifice near-term performance for long-term capability. The accounting issues suggest governance failures rather than integrity. Management has been in managed-decline mode, optimizing for survival rather than investing in future capability or making bold strategic bets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Lufax trades at an extreme discount — ~12x forward P/E with a $1.6B market cap significantly below book value and a net cash position of ~CN¥10B (~$1.4B) — offering deep value optionality if the business stabilizes [3]. Forward EPS estimates of $0.15-0.71 imply a potential return to profitability, and consumer finance loan growth has shown pockets of strength in recent quarters [1]. Ping An Insurance backing provides financial stability, distribution access, and regulatory credibility. If new Co-CEO Xiang Ji (retail credit and risk management specialist) successfully pivots toward consumer finance growth while managing credit quality, the stock's distressed valuation leaves room for significant re-rating from current $1.82 levels.</w:t>
      </w:r>
    </w:p>
    <w:p>
      <w:pPr>
        <w:spacing w:after="120"/>
      </w:pPr>
      <w:r>
        <w:rPr>
          <w:rFonts w:ascii="Calibri" w:hAnsi="Calibri"/>
          <w:b w:val="0"/>
          <w:color w:val="3A4A28"/>
          <w:sz w:val="20"/>
        </w:rPr>
        <w:t>The bear case is overwhelming. Revenue has declined 65%+ over three years — from CN¥54.6B (2021) to CN¥24.5B (2024) — with FY2024 down 41% YoY and no visible inflection point [1]. The company reported a CN¥3.87B net loss in FY2024, with -3.5% ROE and -14% profit margin indicating deep unprofitability. China's regulatory environment for fintech remains hostile, with ongoing uncertainty about credit facilitation rules, data privacy requirements, and consumer lending caps [3]. Competition from Ant Group, WeBank, and traditional bank fintech platforms is intensifying as they deploy superior AI capabilities at scale. The accounting scandal damaged institutional trust. Lufax's ADR structure adds delisting risk under US-China tensions and HFCAA audit requirements. Liquidity of $2.0M daily barely clears the $1M floor — a further stock decline or volume reduction could trigger the liquidity floor and drive infrastructure to zero [3]. At $1.82 per ADS (down ~95% from IPO), this appears more likely a value trap than a turnaround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Co-CEO Xiang Ji (retail credit specialist) could articulate a credible consumer finance growth strategy, potentially restarting institutional confidence after years of contraction</w:t>
      </w:r>
    </w:p>
    <w:p>
      <w:pPr>
        <w:spacing w:before="40" w:after="40"/>
        <w:ind w:left="283"/>
      </w:pPr>
      <w:r>
        <w:rPr>
          <w:rFonts w:ascii="Calibri" w:hAnsi="Calibri"/>
          <w:b/>
          <w:color w:val="4A6B25"/>
          <w:sz w:val="20"/>
        </w:rPr>
        <w:t xml:space="preserve">2. </w:t>
      </w:r>
      <w:r>
        <w:rPr>
          <w:rFonts w:ascii="Calibri" w:hAnsi="Calibri"/>
          <w:b w:val="0"/>
          <w:color w:val="3A4A28"/>
          <w:sz w:val="20"/>
        </w:rPr>
        <w:t>Return to profitability — forward EPS estimates imply potential earnings recovery, which if achieved would mark a fundamental inflection from three years of loss-making [3]</w:t>
      </w:r>
    </w:p>
    <w:p>
      <w:pPr>
        <w:spacing w:before="40" w:after="40"/>
        <w:ind w:left="283"/>
      </w:pPr>
      <w:r>
        <w:rPr>
          <w:rFonts w:ascii="Calibri" w:hAnsi="Calibri"/>
          <w:b/>
          <w:color w:val="4A6B25"/>
          <w:sz w:val="20"/>
        </w:rPr>
        <w:t xml:space="preserve">3. </w:t>
      </w:r>
      <w:r>
        <w:rPr>
          <w:rFonts w:ascii="Calibri" w:hAnsi="Calibri"/>
          <w:b w:val="0"/>
          <w:color w:val="3A4A28"/>
          <w:sz w:val="20"/>
        </w:rPr>
        <w:t>Net cash position of ~CN¥10B provides substantial balance sheet cushion and potential for capital return if the business stabilizes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 of 41% YoY in FY2024 with no visible stabilization — three consecutive years of contraction suggests structural impairment in the credit facilitation model rather than cyclical weakness [1]</w:t>
      </w:r>
    </w:p>
    <w:p>
      <w:pPr>
        <w:spacing w:before="40" w:after="40"/>
        <w:ind w:left="283"/>
      </w:pPr>
      <w:r>
        <w:rPr>
          <w:rFonts w:ascii="Calibri" w:hAnsi="Calibri"/>
          <w:b/>
          <w:color w:val="4A6B25"/>
          <w:sz w:val="20"/>
        </w:rPr>
        <w:t xml:space="preserve">2. </w:t>
      </w:r>
      <w:r>
        <w:rPr>
          <w:rFonts w:ascii="Calibri" w:hAnsi="Calibri"/>
          <w:b w:val="0"/>
          <w:color w:val="3A4A28"/>
          <w:sz w:val="20"/>
        </w:rPr>
        <w:t>China regulatory and geopolitical risk — evolving fintech regulations, data privacy laws, and consumer lending caps could further constrain operations, while ADR delisting risk under HFCAA creates structural uncertainty for US-listed shares [3]</w:t>
      </w:r>
    </w:p>
    <w:p>
      <w:pPr>
        <w:spacing w:before="40" w:after="40"/>
        <w:ind w:left="283"/>
      </w:pPr>
      <w:r>
        <w:rPr>
          <w:rFonts w:ascii="Calibri" w:hAnsi="Calibri"/>
          <w:b/>
          <w:color w:val="4A6B25"/>
          <w:sz w:val="20"/>
        </w:rPr>
        <w:t xml:space="preserve">3. </w:t>
      </w:r>
      <w:r>
        <w:rPr>
          <w:rFonts w:ascii="Calibri" w:hAnsi="Calibri"/>
          <w:b w:val="0"/>
          <w:color w:val="3A4A28"/>
          <w:sz w:val="20"/>
        </w:rPr>
        <w:t>Liquidity risk — avg daily volume of ~1.1M shares × $1.82 = $2.0M barely clears the $1M floor; further stock decline could trigger the infrastructure zero-score and the stock may become uninvestable for institutional portfolios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Lufax's credit facilitation and wealth management platform faces significant AI disruption risk from multiple directions. Chinese tech giants (Ant Group, Tencent/WeBank, JD Finance) deploy AI-powered lending and wealth management at massive scale with superior data advantages, distribution, and capital [2]. AI-driven credit underwriting is commoditizing the credit facilitation business Lufax depends on, and AI-powered robo-advisory platforms replace traditional wealth management intermediation. Lufax's regulatory licenses and existing customer relationships provide some moat, but the company is losing ground to better-capitalized competitors with superior AI capabilities. AI Opportunity (1/1): Lufax operates an AI Lab and has deployed AI tools for credit scoring, risk management, and robo-advisory services, with some quantifiable results including improved investment horizons in pilot programs [2]. However, these capabilities have not arrested the revenue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Lufax Holding FY2024 Annual Results — CN¥24.5B revenue (-41% YoY), CN¥3.87B net loss, CEO transition to Xiang Ji, Minichart / IR, 2026</w:t>
      </w:r>
    </w:p>
    <w:p>
      <w:pPr>
        <w:spacing w:before="20" w:after="20"/>
        <w:ind w:left="170"/>
      </w:pPr>
      <w:r>
        <w:rPr>
          <w:rFonts w:ascii="Calibri" w:hAnsi="Calibri"/>
          <w:b/>
          <w:color w:val="4A6B25"/>
          <w:sz w:val="15"/>
        </w:rPr>
        <w:t xml:space="preserve">2. </w:t>
      </w:r>
      <w:r>
        <w:rPr>
          <w:rFonts w:ascii="Calibri" w:hAnsi="Calibri"/>
          <w:b w:val="0"/>
          <w:color w:val="3A4A28"/>
          <w:sz w:val="17"/>
        </w:rPr>
        <w:t>Lufax AI Lab, Glassdoor Reviews, Fintech Innovation — robo-advisory tools, credit scoring AI, employee reviews,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Yahoo Finance — LU Key Statistics (D/E 55%, ROE -3.45%, Forward PE 11.80, market cap $1.6B, avg vol 1.11M),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Lufax 2025 ESG Report — Four More Finance strategy, financial inclusion for small business owners, NYSE filing,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