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MDU</w:t>
      </w:r>
      <w:r>
        <w:rPr>
          <w:rFonts w:ascii="Calibri" w:hAnsi="Calibri"/>
          <w:b/>
          <w:color w:val="1A2010"/>
          <w:sz w:val="40"/>
        </w:rPr>
        <w:t xml:space="preserve">  MDU Resources Group, Inc.</w:t>
      </w:r>
    </w:p>
    <w:p>
      <w:pPr>
        <w:spacing w:after="120"/>
      </w:pPr>
      <w:r>
        <w:rPr>
          <w:rFonts w:ascii="Calibri" w:hAnsi="Calibri"/>
          <w:b/>
          <w:color w:val="6E8450"/>
          <w:sz w:val="18"/>
        </w:rPr>
        <w:t>DIVIDEND SLEEVE · 2026-07-19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Gas · NYSE · United States</w:t>
      </w:r>
    </w:p>
    <w:p>
      <w:pPr>
        <w:spacing w:after="80"/>
      </w:pPr>
      <w:r>
        <w:rPr>
          <w:rFonts w:ascii="Calibri" w:hAnsi="Calibri"/>
          <w:b w:val="0"/>
          <w:color w:val="3A4A28"/>
          <w:sz w:val="20"/>
        </w:rPr>
        <w:t>MDU Resources Group is a regulated energy delivery company operating through Electric (generation, transmission, and distribution in MT, ND, SD, WY), Natural Gas Distribution (8 states), and Pipeline (natural gas transportation and storage) segments. The company serves approximately 1.2 million customers across the northern Great Plains and Pacific Northwest. Following the 2023 spin-off of Knife River and the October 2024 spin-off of Everus Construction Group, MDU now operates as a pure-play regulated utility.</w:t>
      </w:r>
    </w:p>
    <w:p>
      <w:r>
        <w:rPr>
          <w:rFonts w:ascii="Calibri" w:hAnsi="Calibri"/>
          <w:b/>
          <w:color w:val="6E8450"/>
          <w:sz w:val="18"/>
        </w:rPr>
        <w:t>2,200 Employees · https://www.mdu.com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Now fully transitioned to a pure-play regulated utility after the October 2024 Everus Construction spin-off, MDU posted 2025 net income of $190.4M with natural gas utility earnings up 19.6% and record pipeline segment earnings of $68.2M, driven by rate relief and infrastructure expansion rather than product innovation [1]. Q1 2026 revenue of $606M (down from $674.8M in Q1 2025) reflected mild winter weather rather than structural weakness, and management affirmed full-year EPS guidance of $0.93-$1.00 [2]. AI Deployment (1/2): CEO Nicole Kivisto states MDU 'continues to explore AI applications' with security and reliability as priorities, citing data-center customer Applied Digital as an example of new load benefiting the utility, but no shipped AI product or quantified savings were identified [3]. Market Share (1/2): MDU serves a captive regulated customer base across 8 states with 1-2% annual customer growth, holding a natural monopoly in its service territories [1]. Pipeline (1/2): A $3.1B five-year (2026-2030) capital investment plan with $560M allocated to 2026 provides clear infrastructure visibility, and a 6-8% long-term EPS growth target gives forward trajectory [1]. R&amp;D Intensity (0/1): Minimal R&amp;D spending as a regulated utility — innovation is driven by capital deployment into infrastructure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MDU's CORE strategy (Customers and communities, Operational excellence, Returns focused, Employee driven) is clear and stakeholder-connected but reads as a corporate framework rather than an inspiring vision [3]. Community Impact (2/2): The MDU Resources Foundation provides documented community investment across the northern Great Plains, with a 100-year sustainability report ('Doing the Right Thing') outlining specific charitable and economic-development programs [4]. Employee Retention (1/2): CEO Nicole Kivisto's 29-year career at the company and her succession from David Goodin (40-year MDU tenure) in January 2024 demonstrate exceptional leadership continuity, and Kivisto emphasizes mentorship in a 'boots on the ground' continuous-improvement culture, though no quantified turnover data was found [3]. Insider Buying (0/2): No evidence of meaningful net insider buying was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weighting). D/E of 89.4% scores 0.92 (moderate leverage). ROE of 6.73% scores 0.45 (below the 15% target, typical for regulated utilities). Revenue growth YoY of ~3% (full-year) scores 0.77, though Q1 2026 was pressured by mild weather [2]. Forward P/E of 20.98 scores 0.98 (essentially at the 20x target). Profit margin of 10.15% scores 0.51. Payout ratio of ~58% scores 0.70. Dividend metrics dominate the composite: 88 consecutive years of uninterrupted dividends (2/2 weighted) and 6 consecutive years of increases post-spinoff each contribute meaningfully, keeping the S&amp;P High-Yield Dividend Aristocrat legacy intact even after the Knife River/Everus restructuring reset the growth-streak counter [5]. Liquidity floor passes comfortably: ~1.84M avg daily volume x $22.20 = ~$40.8M daily dollar volume, far above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MDU demonstrates solid infinite-game characteristics rooted in its century-long operating history and now-simplified regulated utility model. The 2023-2024 spin-offs of Knife River and Everus Construction represent the company's clearest existential-flexibility move — a deliberate, costly simplification to refocus on its core purpose rather than chase diversified growth.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MDU's purpose of reliably delivering energy to Pacific Northwest and Midwest communities has been pursued for over a century, and the deliberate refocus to a pure-play regulated utility traces back to a stated commitment to safe, reliable community energy service [1][3]. The cause is genuine and validated by history but reads as functional rather than idealistic, capping it below the top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Kivisto's mentorship-driven, 'boots on the ground' culture and the smooth 2024 succession from 40-year veteran David Goodin suggest organizational stability and internal-talent trust, though no quantified turnover or employee-sentiment data substantiates exceptional psychological safety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utility, MDU does not operate in a head-to-head competitive market, and no competitive-framing commentary from leadership was identified in research.</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MDU executed a genuinely transformative restructuring — spinning off Knife River Corporation (2023) and Everus Construction Group (October 2024) — abandoning decades of diversified-conglomerate structure to refocus purely on regulated energy delivery [1]. This is a real strategic reinvention, not an incremental tweak.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two profitable, well-established business lines (construction materials and construction services) to simplify the portfolio required near-term revenue sacrifice for long-term strategic clarity, a real if modest example of courageous capital allocation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MDU Resources is now a fully simplified, pure-play regulated electric and natural gas utility following the October 2024 Everus Construction spin-off, offering a 2.6% dividend yield backed by 88 consecutive years of uninterrupted dividends and a 6-8% long-term EPS growth target underpinned by a $3.1B five-year (2026-2030) capital investment plan [1]. 2025 results showed the simplified model working: natural gas utility earnings grew 19.6% and pipeline earnings hit a record $68.2M [1]. Q1 2026 revenue of $606M was down from $674.8M a year earlier, but management attributed the softness to mild winter weather and affirmed full-year EPS guidance of $0.93-$1.00, with data-center load growth (citing customer Applied Digital) providing an incremental demand tailwind [2][3].</w:t>
      </w:r>
    </w:p>
    <w:p>
      <w:pPr>
        <w:spacing w:after="120"/>
      </w:pPr>
      <w:r>
        <w:rPr>
          <w:rFonts w:ascii="Calibri" w:hAnsi="Calibri"/>
          <w:b w:val="0"/>
          <w:color w:val="3A4A28"/>
          <w:sz w:val="20"/>
        </w:rPr>
        <w:t>The bear case reflects the limitations of a small regulated utility now trading without the diversification the spun-off businesses once provided. ROE of 6.73% remains below the 15% mechanical target, and a Forward P/E near 21x leaves little valuation cushion for a business with no meaningful growth catalyst beyond rate-base expansion. As a regulated monopoly, MDU's Innovation profile is structurally weak (4/10) — there is no product pipeline, market-share dynamic, or R&amp;D intensity comparable to competitive-market peers, and AI deployment remains in the 'exploration' phase per management commentary rather than a shipped capability [3]. Geographic concentration in the northern Great Plains and continued weather sensitivity (as shown in Q1 2026) remain structural risks to the regulated earnings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electricity demand growth from data-center and AI-infrastructure customers in MDU's service territories, exemplified by the Applied Digital relationship, supporting rate-base expansion [3]</w:t>
      </w:r>
    </w:p>
    <w:p>
      <w:pPr>
        <w:spacing w:before="40" w:after="40"/>
        <w:ind w:left="283"/>
      </w:pPr>
      <w:r>
        <w:rPr>
          <w:rFonts w:ascii="Calibri" w:hAnsi="Calibri"/>
          <w:b/>
          <w:color w:val="4A6B25"/>
          <w:sz w:val="20"/>
        </w:rPr>
        <w:t xml:space="preserve">2. </w:t>
      </w:r>
      <w:r>
        <w:rPr>
          <w:rFonts w:ascii="Calibri" w:hAnsi="Calibri"/>
          <w:b w:val="0"/>
          <w:color w:val="3A4A28"/>
          <w:sz w:val="20"/>
        </w:rPr>
        <w:t>Execution of the $3.1B five-year (2026-2030) capital plan and 6-8% long-term EPS growth target now that the business is a simplified, pure-play regulated utility [1]</w:t>
      </w:r>
    </w:p>
    <w:p>
      <w:pPr>
        <w:spacing w:before="40" w:after="40"/>
        <w:ind w:left="283"/>
      </w:pPr>
      <w:r>
        <w:rPr>
          <w:rFonts w:ascii="Calibri" w:hAnsi="Calibri"/>
          <w:b/>
          <w:color w:val="4A6B25"/>
          <w:sz w:val="20"/>
        </w:rPr>
        <w:t xml:space="preserve">3. </w:t>
      </w:r>
      <w:r>
        <w:rPr>
          <w:rFonts w:ascii="Calibri" w:hAnsi="Calibri"/>
          <w:b w:val="0"/>
          <w:color w:val="3A4A28"/>
          <w:sz w:val="20"/>
        </w:rPr>
        <w:t>Continuation of the 88-year uninterrupted dividend streak, reinforcing MDU's S&amp;P High-Yield Dividend Aristocrat status even after the post-spinoff reset of the increase-streak counter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6.73% remains well below the 15% mechanical target, and Q1 2026 results show continued sensitivity to weather patterns that can swing quarterly earnings materially [2]</w:t>
      </w:r>
    </w:p>
    <w:p>
      <w:pPr>
        <w:spacing w:before="40" w:after="40"/>
        <w:ind w:left="283"/>
      </w:pPr>
      <w:r>
        <w:rPr>
          <w:rFonts w:ascii="Calibri" w:hAnsi="Calibri"/>
          <w:b/>
          <w:color w:val="4A6B25"/>
          <w:sz w:val="20"/>
        </w:rPr>
        <w:t xml:space="preserve">2. </w:t>
      </w:r>
      <w:r>
        <w:rPr>
          <w:rFonts w:ascii="Calibri" w:hAnsi="Calibri"/>
          <w:b w:val="0"/>
          <w:color w:val="3A4A28"/>
          <w:sz w:val="20"/>
        </w:rPr>
        <w:t>Forward P/E of ~21x offers minimal valuation cushion against a company with limited growth catalysts beyond rate-base expansion</w:t>
      </w:r>
    </w:p>
    <w:p>
      <w:pPr>
        <w:spacing w:before="40" w:after="40"/>
        <w:ind w:left="283"/>
      </w:pPr>
      <w:r>
        <w:rPr>
          <w:rFonts w:ascii="Calibri" w:hAnsi="Calibri"/>
          <w:b/>
          <w:color w:val="4A6B25"/>
          <w:sz w:val="20"/>
        </w:rPr>
        <w:t xml:space="preserve">3. </w:t>
      </w:r>
      <w:r>
        <w:rPr>
          <w:rFonts w:ascii="Calibri" w:hAnsi="Calibri"/>
          <w:b w:val="0"/>
          <w:color w:val="3A4A28"/>
          <w:sz w:val="20"/>
        </w:rPr>
        <w:t>As a regulated monopoly with no product pipeline or R&amp;D intensity, MDU has structurally limited innovation-driven upside relative to peers investing more aggressively in grid modernization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MDU's regulated electric and natural gas distribution business is essential physical infrastructure (poles, wires, pipelines) that AI cannot substitute or disrupt; the company is also a beneficiary of AI-driven electricity demand growth, citing data-center customer Applied Digital as an example of new load benefiting the utility [3]. Regulated rate-base economics further insulate cash flows from software-driven competition. AI Opportunity (0/1): MDU does not generate quantifiable AI product/service revenue itself — the AI tailwind is indirect (serving AI-driven load growth), not a monetized AI offering, so no tiebreaker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MDU Resources 2025 Year-End Results, 2026 Guidance, and Q1 2026 Results — PRNewswire, StockTitan, Investing.com, February-May 2026</w:t>
      </w:r>
    </w:p>
    <w:p>
      <w:pPr>
        <w:spacing w:before="20" w:after="20"/>
        <w:ind w:left="170"/>
      </w:pPr>
      <w:r>
        <w:rPr>
          <w:rFonts w:ascii="Calibri" w:hAnsi="Calibri"/>
          <w:b/>
          <w:color w:val="4A6B25"/>
          <w:sz w:val="15"/>
        </w:rPr>
        <w:t xml:space="preserve">2. </w:t>
      </w:r>
      <w:r>
        <w:rPr>
          <w:rFonts w:ascii="Calibri" w:hAnsi="Calibri"/>
          <w:b w:val="0"/>
          <w:color w:val="3A4A28"/>
          <w:sz w:val="17"/>
        </w:rPr>
        <w:t>MDU Resources Q1 2026 earnings coverage — mild weather impact, affirmed guidance — Investing.com, Yahoo Finance, July 2026</w:t>
      </w:r>
    </w:p>
    <w:p>
      <w:pPr>
        <w:spacing w:before="20" w:after="20"/>
        <w:ind w:left="170"/>
      </w:pPr>
      <w:r>
        <w:rPr>
          <w:rFonts w:ascii="Calibri" w:hAnsi="Calibri"/>
          <w:b/>
          <w:color w:val="4A6B25"/>
          <w:sz w:val="15"/>
        </w:rPr>
        <w:t xml:space="preserve">3. </w:t>
      </w:r>
      <w:r>
        <w:rPr>
          <w:rFonts w:ascii="Calibri" w:hAnsi="Calibri"/>
          <w:b w:val="0"/>
          <w:color w:val="3A4A28"/>
          <w:sz w:val="17"/>
        </w:rPr>
        <w:t>CEO North America Magazine — Nicole Kivisto interview on CORE strategy, leadership culture, AI governance, and Applied Digital partnership, 2025-2026</w:t>
      </w:r>
    </w:p>
    <w:p>
      <w:pPr>
        <w:spacing w:before="20" w:after="20"/>
        <w:ind w:left="170"/>
      </w:pPr>
      <w:r>
        <w:rPr>
          <w:rFonts w:ascii="Calibri" w:hAnsi="Calibri"/>
          <w:b/>
          <w:color w:val="4A6B25"/>
          <w:sz w:val="15"/>
        </w:rPr>
        <w:t xml:space="preserve">4. </w:t>
      </w:r>
      <w:r>
        <w:rPr>
          <w:rFonts w:ascii="Calibri" w:hAnsi="Calibri"/>
          <w:b w:val="0"/>
          <w:color w:val="3A4A28"/>
          <w:sz w:val="17"/>
        </w:rPr>
        <w:t>MDU Resources dividend history — PRNewswire (32nd Consecutive Year release), Koyfin, DividendMax; MDU Sustainability Report '100 Years of Doing the Right Thing',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