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MFIC</w:t>
      </w:r>
      <w:r>
        <w:rPr>
          <w:rFonts w:ascii="Calibri" w:hAnsi="Calibri"/>
          <w:b/>
          <w:color w:val="1A2010"/>
          <w:sz w:val="40"/>
        </w:rPr>
        <w:t xml:space="preserve">  MidCap Financial Investment Corporation</w:t>
      </w:r>
    </w:p>
    <w:p>
      <w:pPr>
        <w:spacing w:after="120"/>
      </w:pPr>
      <w:r>
        <w:rPr>
          <w:rFonts w:ascii="Calibri" w:hAnsi="Calibri"/>
          <w:b/>
          <w:color w:val="6E8450"/>
          <w:sz w:val="18"/>
        </w:rPr>
        <w:t>DIVIDEND SLEEVE · 2026-08-10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MidCap Financial Investment Corporation is an externally managed, publicly traded Business Development Company (BDC) focused on providing senior secured first lien loans to U.S. middle market companies. Externally managed by Apollo Investment Management, an affiliate of Apollo Global Management ($785B AUM). The company was formed through the 2024 merger of Apollo Investment Corp (AINV), Apollo Senior Floating Rate Fund, and MidCap Financial Investment Corp. Portfolio of ~229 companies totaling $2.77B at fair value. Headquartered in New York, New York.</w:t>
      </w:r>
    </w:p>
    <w:p>
      <w:r>
        <w:rPr>
          <w:rFonts w:ascii="Calibri" w:hAnsi="Calibri"/>
          <w:b/>
          <w:color w:val="6E8450"/>
          <w:sz w:val="18"/>
        </w:rPr>
        <w:t>https://www.midcapfinancialic.com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2024 triple merger combining Apollo Investment Corp, Apollo Senior Floating Rate Fund, and MidCap Financial created a larger, more diversified BDC platform with improved cost efficiency and deal sourcing through the MidCap Financial partnership — a meaningful corporate restructuring, though financial consolidation rather than product innovation [2][3]. AI Deployment (0/2): No evidence of AI-powered products, tools, or internally deployed AI systems for credit analysis, portfolio monitoring, or deal sourcing. Market Share (0/2): MFIC is a mid-tier BDC with $2.77B portfolio, dwarfed by peers like Ares Capital ($28B+) and Blue Owl Capital ($20B+). No evidence of market share leadership or gains in middle market lending [1]. Product Pipeline (0/2): No new products, strategies, or investment verticals announced. The company is contracting — net investment activity was negative $160M in Q2 2026, with the portfolio shrinking from $3.07B to $2.86B [1]. R&amp;D Intensity (0/1): Not applicable to a BDC; externally managed with no internal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MFIC's stated purpose is 'providing senior debt solutions to middle market companies' — a functional description of what the company does, interchangeable with every other BDC. No articulated mission, vision, or values beyond financial intermediation [2]. Community Impact (0/2): No evidence of charitable programs, foundation, or community investment. BDCs are financial vehicles, not organizations with social missions. Employee Retention (0/2): MFIC is externally managed by Apollo Investment Management — there are no traditional employees, no internal culture to evaluate, and no retention data. The CEO transition (Curwin to Groman, January 2026) and CFO transition were planned successions within Apollo's management structure [2]. Insider Buying (0/2): No evidence of meaningful insider purchases. The company repurchased 2.75M shares at $11.58 average ($31.9M) in Q2, which represents corporate action rather than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NII of $0.40/share but net loss from operations of $(0.21)/share as $(50.3M) in portfolio losses overwhelmed investment income [1]. NAV declined from $14.66 (Sep 2025) to $13.37 (Jun 2026) — a 8.8% erosion in three quarters driven by credit deterioration in software portfolio companies. The dividend was cut from $0.38 to $0.31, and the board warned 'no assurances' the current dividend will be maintained [1]. Leverage of 1.54x net debt/equity (158% D/E) is within BDC norms but elevated for a credit cycle downturn. Forward P/E of 8.91 is attractive on paper but reflects market skepticism about earnings sustainability. The 20+ year consecutive dividend payment history (through predecessor entities) is offset by zero consecutive years of dividend growth following the cut, and negative 5yr dividend growth CAGR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MFIC is a textbook finite game player. As an externally managed BDC, it exists purely to generate financial returns for shareholders and management fees for Apollo. There is no Just Cause, no internal culture (external management), and no vision beyond quarterly NII coverage and dividend payments. Strategic decisions are driven entirely by financial optimization — the triple merger was a consolidation play, the share buyback program targets NAV accretion, and the dividend cut was a mechanical response to credit losses. Nothing about MFIC's structure or strategy suggests it is built to endure beyond its financial utility.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MFIC has no articulated Just Cause. The company exists to deploy Apollo's capital into middle market loans and generate returns. There is no vision of a better future, no stated purpose beyond financial intermediation, and no evidence that any stakeholder — management, board, or Apollo — views MFIC as serving a cause larger than profit. Management commentary focuses exclusively on NII coverage, NAV preservation, and capital allocation optimization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MFIC is externally managed by Apollo Investment Management with no traditional employees. The 'team' is Apollo's investment professionals who manage multiple vehicles simultaneously. The CEO transition (Curwin to Groman) and CFO transition were planned Apollo personnel changes, not expressions of organizational trust. There is no internal culture, no employee empowerment model, and no organizational identity independent of the Apollo platform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MFIC competes in the BDC space primarily through cost structure (industry-leading fee rates via Apollo affiliation) and deal sourcing (MidCap Financial partnership), not through learning from competitors like Ares Capital, Blue Owl, or Golub Capital. Competitive positioning is transactional and fee-focused.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triple merger — combining three separate Apollo-managed vehicles into a single larger BDC — was a meaningful structural transformation that improved scale, diversification, and cost efficiency [2][3]. The pivot from standalone Apollo Investment Corp to the MidCap Financial partnership model changed the deal sourcing and underwriting approach. However, the core business model (borrow money, lend to middle market companies, collect spread) has not changed. The merger was driven by financial engineering rationale, not a deeper strategic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The dividend cut from $0.38 to $0.31 was a defensive response to NAV erosion and credit losses, not a proactive investment in long-term capability [1]. The share buyback below NAV is financially rational but standard BDC capital allocation. The board's explicit warning that 'no assurances' exist for maintaining the current dividend reflects risk management, not strategic courage. Management's decision to contract the portfolio (negative $160M net investment activity in Q2) is prudent but defensive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MFIC offers a 10.28% dividend yield backed by NII of $0.40/share in Q2 2026, providing 129% coverage of the $0.31 quarterly dividend, with the portfolio yielding 9.5% on secured debt (100% floating rate) [1]. The Forward P/E of 8.91 and share repurchases at a 13% discount to NAV ($11.58 vs $13.37 NAV) demonstrate management conviction in intrinsic value. Apollo's $785B platform provides institutional-quality deal sourcing and credit expertise, while the 94% first lien secured portfolio composition limits downside in severe credit scenarios. Available credit facility capacity of $925M provides liquidity cushion.</w:t>
      </w:r>
    </w:p>
    <w:p>
      <w:pPr>
        <w:spacing w:after="120"/>
      </w:pPr>
      <w:r>
        <w:rPr>
          <w:rFonts w:ascii="Calibri" w:hAnsi="Calibri"/>
          <w:b w:val="0"/>
          <w:color w:val="3A4A28"/>
          <w:sz w:val="20"/>
        </w:rPr>
        <w:t>The bear case is severe and immediate. NAV has declined 8.8% in three quarters (from $14.66 to $13.37), the dividend was cut 18% from $0.38 to $0.31, and the board explicitly warned no assurances exist for maintaining even the reduced dividend [1]. Net portfolio losses of $(50.3M) in Q2 alone — concentrated in software credits — reveal credit underwriting failures in a sector Apollo was supposedly expert in. The portfolio is actively contracting ($(160M) net investment activity in Q2), total assets fell from $3.07B to $2.86B, and the company is reducing exposure to stressed positions [1]. The stock trades at a 29% discount to NAV ($9.55 vs $13.37), signaling the market expects further NAV erosion. External management by Apollo creates structural misalignment — Apollo earns fees on assets regardless of shareholder returns, and the management agreement lacks meaningful performance accountability. The 140.7% GAAP payout ratio reflects that actual earnings (including realized and unrealized losses) do not cover the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NAV decline if credit losses moderate in H2 2026, with portfolio concentration in first lien secured debt (94%) providing recovery potential as stressed borrowers restructure</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if NII remains at $0.38-0.40/share level while the $0.31 distribution builds supplemental income reserves, rebuilding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Share buyback program generating NAV accretion — Q2 repurchases at $11.58 added $0.07/share, and continued repurchases below $13.37 NAV would be incrementally accretive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NAV erosion from further credit losses in the portfolio — the 8.8% decline over three quarters could accelerate if macroeconomic conditions deteriorate and additional software or middle market credits default</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board explicitly providing 'no assurances' of maintaining the $0.31 quarterly distribution — a second dividend cut would likely trigger significant additional stock price decline</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misaligns incentives — Apollo earns management fees on gross assets regardless of shareholder returns, and the portfolio contraction ($(160M) net in Q2) may reflect Apollo redirecting deal flow to higher-fee vehicles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MFIC's core business — originating and managing senior secured loans to private middle market companies — relies on relationship-intensive deal sourcing, complex underwriting of private companies with limited publicly available data, and workout expertise during credit stress that requires human judgment and negotiation [1][2]. These activities have significant human components that AI cannot fully replicate in the near term. However, AI-enhanced fintech lenders could compete for middle market deals using superior data analysis and faster credit decisions, and AI could automate portions of credit monitoring and document review that currently require analyst time. The externally managed structure through Apollo provides access to institutional-scale data and resources that partially offset individual competitive threats. AI Opportunity (0/1): No revenue from AI products or services. MFIC is a financial intermediary that may benefit from AI-enhanced credit tools developed by Apollo, but generates no AI-related revenue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MidCap Financial Q2 2026 Earnings Release —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MidCap Financial Corporate Profile and Leadership — midcapfinancialic.com, 2026</w:t>
      </w:r>
    </w:p>
    <w:p>
      <w:pPr>
        <w:spacing w:before="20" w:after="20"/>
        <w:ind w:left="170"/>
      </w:pPr>
      <w:r>
        <w:rPr>
          <w:rFonts w:ascii="Calibri" w:hAnsi="Calibri"/>
          <w:b/>
          <w:color w:val="4A6B25"/>
          <w:sz w:val="15"/>
        </w:rPr>
        <w:t xml:space="preserve">3. </w:t>
      </w:r>
      <w:r>
        <w:rPr>
          <w:rFonts w:ascii="Calibri" w:hAnsi="Calibri"/>
          <w:b w:val="0"/>
          <w:color w:val="3A4A28"/>
          <w:sz w:val="17"/>
        </w:rPr>
        <w:t>Apollo-Affiliated MidCap Financial Credit Weakness — Seeking Alpha/Quiver Quantitative,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Finance/Finviz — MFIC Key Statistics,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MidCap Financial Q1 2026 Earnings — Investing.com Transcript,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