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MLTX</w:t>
      </w:r>
      <w:r>
        <w:rPr>
          <w:rFonts w:ascii="Calibri" w:hAnsi="Calibri"/>
          <w:b/>
          <w:color w:val="1A2010"/>
          <w:sz w:val="40"/>
        </w:rPr>
        <w:t xml:space="preserve">  MoonLake Immunotherapeutics</w:t>
      </w:r>
    </w:p>
    <w:p>
      <w:pPr>
        <w:spacing w:after="120"/>
      </w:pPr>
      <w:r>
        <w:rPr>
          <w:rFonts w:ascii="Calibri" w:hAnsi="Calibri"/>
          <w:b/>
          <w:color w:val="6E8450"/>
          <w:sz w:val="18"/>
        </w:rPr>
        <w:t>GROWTH SLEEVE · 2026-07-20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Switzerland</w:t>
      </w:r>
    </w:p>
    <w:p>
      <w:pPr>
        <w:spacing w:after="80"/>
      </w:pPr>
      <w:r>
        <w:rPr>
          <w:rFonts w:ascii="Calibri" w:hAnsi="Calibri"/>
          <w:b w:val="0"/>
          <w:color w:val="3A4A28"/>
          <w:sz w:val="20"/>
        </w:rPr>
        <w:t>MoonLake Immunotherapeutics is a clinical-stage biopharmaceutical company developing sonelokimab, an investigational tri-specific Nanobody targeting IL-17A and IL-17F for inflammatory diseases. The company's lead indication is hidradenitis suppurativa (HS), with Phase 3 VELA trials completed and BLA submission planned for September 2026. MoonLake has also initiated trials in palmoplantar pustulosis (PPP, FDA Fast Track), psoriasis, and other inflammatory conditions. Founded in 2021 and headquartered in Zug, Switzerland.</w:t>
      </w:r>
    </w:p>
    <w:p>
      <w:r>
        <w:rPr>
          <w:rFonts w:ascii="Calibri" w:hAnsi="Calibri"/>
          <w:b/>
          <w:color w:val="6E8450"/>
          <w:sz w:val="18"/>
        </w:rPr>
        <w:t>https://moonlaketx.com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MoonLake was founded in 2021 and has not launched any commercial products. The company is a single-asset clinical-stage biotech entirely dependent on sonelokimab. No successful product launches, market pivots, or business model transformations exist in its short history. AI Deployment (0/2): No evidence of AI-powered products or quantified AI-driven efficiency gains; the company uses traditional biologic drug development approaches. Market Share (1/2): Sonelokimab's tri-specific Nanobody format targeting both IL-17A and IL-17F represents a genuinely differentiated mechanism of action versus existing anti-IL-17 biologics [1]. Week 52 Phase 3 data showing 67% HiSCR75 response with a third achieving complete clearance supports clinical differentiation in HS [2]. Product Pipeline (2/2): BLA submission for adult and adolescent HS planned for end of September 2026, with FDA confirming no additional clinical trials needed following a positive final pre-BLA meeting [3]. FDA Fast Track designation granted for PPP in February 2026, and three new clinical trials initiated expanding the indication portfolio [4]. US launch potential in H2 2027 if approved. R&amp;D Intensity (1/1): As a clinical-stage company, virtually 100% of spending goes to R&amp;D and clinical trials, with ~$65M per quarter directed toward sonelokimab development across multiple indications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MoonLake's stated purpose centers on unlocking the potential of sonelokimab for inflammatory disease treatment. The company positions its single-asset concentration as a 'deliberate challenge to conventional biotech wisdom,' but this describes a business strategy — not a Just Cause or vision of a better future beyond commercial success [1]. Interchangeable with any clinical-stage biotech. Community &amp; Charitable Impact (0/2): No evidence of charitable programs, community investment, or philanthropic initiatives. As a clinical-stage biotech with no revenue and $358M cash funding operations, community giving is not a strategic priority. Employee Retention (0/2): No publicly available data on employee count, retention, or culture. The company is too small and young for meaningful retention metrics. Insider Buying (0/2): Net insider selling continues: CEO Jorge Santos da Silva sold 150,000 shares worth $2.8M in April 2026, and CFO Matthias Bodenstedt sold 39,000 shares in July 2026 [6]. While insider selling is common for diversification at clinical-stage biotechs, the pattern across multiple executives signals risk reduction rather than leadership conviction at a pivotal regulatory moment.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MoonLake's infrastructure is severely constrained by pre-revenue status. D/E of ~40% is conservative for a clinical-stage biotech, with $358M cash against $75.6M debt providing a net cash position of $4.82 per share [5]. However, ROE is deeply negative (~-60%) reflecting continued annual losses exceeding $200M with zero revenue to offset clinical trial costs [5]. Profit margin is 0% (no revenue), and forward P/E is negative. Revenue growth metrics are not applicable (pre-commercial). The $358M cash position provides approximately 5.5 quarters of runway at ~$65M/quarter burn, reaching through Q2-Q3 2027 — covering the expected BLA filing (September 2026) and potential PDUFA date (~mid-2027) [3][5]. Liquidity floor cleared at $20M daily traded value (1M avg volume x $20 stock price).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MoonLake is a quintessential finite game player — a single-asset clinical-stage biotech whose entire existence hinges on FDA approval of sonelokimab. The BLA submission planned for September 2026 represents a binary regulatory outcome: approval enables commercialization and company survival; rejection or CRL likely means dissolution or fire-sale acquisition. CEO and CFO insider selling during the critical pre-filing period reinforces the finite orientation. The expansion into three new indications shows strategic breadth but all are variants of the same molecule.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MoonLake's purpose is to commercialize sonelokimab — a product-specific goal, not a Just Cause in Sinek's terms. There is no articulated vision of a future state that transcends this single molecule. The 'deliberate challenge to conventional biotech wisdom' of concentrating on one asset is a business strategy, not a cause that inspires sacrifice [1]. If sonelokimab fails, the company has no stated reason to exist. Strategic decisions are entirely oriented around maximizing regulatory and commercial success of one drug.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Jorge Santos da Silva has led MoonLake since 2022, bringing credible McKinsey pharmaceutical consulting experience, and the leadership team has navigated through the 80-90% stock crash in September 2025 with apparent stability [1]. The positive FDA pre-BLA meeting outcome and expanded clinical program suggest organizational execution capability. However, the securities fraud lawsuit alleging misleading investor communications and insider selling by both CEO and CFO at critical junctures raise transparency concerns, even if common for clinical-stage biotech.</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MoonLake's competitive positioning versus existing IL-17 therapies (secukinumab, ixekizumab, Humira) focuses on sonelokimab's tri-specific mechanism as a differentiation advantage rather than learning from competitors' strengths [2]. The company's narrative is product-superiority oriented — claiming better efficacy through dual IL-17A/F targeting. This is standard clinical-stage biotech positioning, not infinite-game competitive thinking.</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MoonLake is entirely dependent on sonelokimab as its sole asset. The expansion into PPP, psoriasis, and other indications represents indication diversification but not platform diversification — all programs depend on the same molecule [4]. There is no backup pipeline, no platform technology generating additional candidates, and no evidence of strategic alternatives beyond sonelokimab. The company reportedly explored a sale in mid-2025, characterized by STAT News as 'a cry for help.' If the HS BLA fails, the indication expansion programs become meaningless.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decision to persist with BLA submission after the Phase 3 stock crash shows rational persistence rather than courageous sacrifice — the clinical data showed clinically meaningful responses, making continued regulatory submission the only sensible path for a single-asset company [2][3]. CEO insider selling of $2.8M and CFO selling 39K shares during the pre-BLA period sends risk-reduction signals rather than demonstrating conviction [6]. No examples of leadership sacrificing short-term returns for long-term capability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MoonLake is a high-risk single-asset biotech bet on sonelokimab approaching a pivotal regulatory inflection. The bull case has strengthened materially since the September 2025 stock crash: the FDA confirmed in a positive final pre-BLA meeting that MoonLake may establish efficacy without additional clinical trials, and BLA submission is planned for end of September 2026 [3]. Week 52 Phase 3 VELA data showed 67% HiSCR75 response with a third of patients achieving complete skin-lesion clearance — clinically meaningful in the underserved HS population [2]. FDA Fast Track designation for PPP and three new clinical trials expand the indication portfolio beyond HS. At ~$20 per share and ~$1.5B market cap, the stock prices in significant skepticism, potentially creating asymmetric upside if the BLA is accepted and approved. Cash position of $358M provides runway through a potential PDUFA date in mid-2027 [5].</w:t>
      </w:r>
    </w:p>
    <w:p>
      <w:pPr>
        <w:spacing w:after="120"/>
      </w:pPr>
      <w:r>
        <w:rPr>
          <w:rFonts w:ascii="Calibri" w:hAnsi="Calibri"/>
          <w:b w:val="0"/>
          <w:color w:val="3A4A28"/>
          <w:sz w:val="20"/>
        </w:rPr>
        <w:t>The bear case remains dominant. MoonLake generates zero revenue, reported Q1 2026 EPS of -$0.98, and analysts forecast ~$265M in annual losses through at least 2027 [5]. The stock crashed 80-90% in September 2025 when Phase 3 results fell short of investor expectations, triggering securities fraud litigation. CEO Santos da Silva sold $2.8M in shares in April 2026 and CFO Bodenstedt sold shares in July 2026, signaling insider risk reduction at the worst possible moment for conviction signaling [6]. Single-asset concentration means a BLA rejection, CRL, or negative FDA advisory committee would be existential — the company reportedly explored a sale in mid-2025. The $358M cash position covers ~5.5 quarters at $65M/quarter burn but leaves limited buffer if the regulatory timeline extends or if a dilutive capital raise is needed before launch revenue materializes. This is a binary outcome stock fundamentally incompatible with the IOWN framework's emphasis on durable, infinite-game businesses.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BLA submission for sonelokimab in HS planned for end of September 2026, with FDA confirmation that existing VELA-1, VELA-2, and MIRA trial data constitute substantial evidence of effectiveness [3]</w:t>
      </w:r>
    </w:p>
    <w:p>
      <w:pPr>
        <w:spacing w:before="40" w:after="40"/>
        <w:ind w:left="283"/>
      </w:pPr>
      <w:r>
        <w:rPr>
          <w:rFonts w:ascii="Calibri" w:hAnsi="Calibri"/>
          <w:b/>
          <w:color w:val="4A6B25"/>
          <w:sz w:val="20"/>
        </w:rPr>
        <w:t xml:space="preserve">2. </w:t>
      </w:r>
      <w:r>
        <w:rPr>
          <w:rFonts w:ascii="Calibri" w:hAnsi="Calibri"/>
          <w:b w:val="0"/>
          <w:color w:val="3A4A28"/>
          <w:sz w:val="20"/>
        </w:rPr>
        <w:t>Week 52 Phase 3 data showing 67% HiSCR75 and ~33% complete clearance (HiSCR100) in adults, with nearly 70% HiSCR75 in adolescents at Week 24, supporting a strong regulatory package [2]</w:t>
      </w:r>
    </w:p>
    <w:p>
      <w:pPr>
        <w:spacing w:before="40" w:after="40"/>
        <w:ind w:left="283"/>
      </w:pPr>
      <w:r>
        <w:rPr>
          <w:rFonts w:ascii="Calibri" w:hAnsi="Calibri"/>
          <w:b/>
          <w:color w:val="4A6B25"/>
          <w:sz w:val="20"/>
        </w:rPr>
        <w:t xml:space="preserve">3. </w:t>
      </w:r>
      <w:r>
        <w:rPr>
          <w:rFonts w:ascii="Calibri" w:hAnsi="Calibri"/>
          <w:b w:val="0"/>
          <w:color w:val="3A4A28"/>
          <w:sz w:val="20"/>
        </w:rPr>
        <w:t>FDA Fast Track designation for PPP and three new clinical trials expanding sonelokimab's indication portfolio, broadening the addressable market beyond HS if the core regulatory path succeeds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Single-asset binary outcome risk: BLA rejection, CRL, or negative FDA advisory committee for sonelokimab would be existential for a company with zero revenue and no backup pipeline [5]</w:t>
      </w:r>
    </w:p>
    <w:p>
      <w:pPr>
        <w:spacing w:before="40" w:after="40"/>
        <w:ind w:left="283"/>
      </w:pPr>
      <w:r>
        <w:rPr>
          <w:rFonts w:ascii="Calibri" w:hAnsi="Calibri"/>
          <w:b/>
          <w:color w:val="4A6B25"/>
          <w:sz w:val="20"/>
        </w:rPr>
        <w:t xml:space="preserve">2. </w:t>
      </w:r>
      <w:r>
        <w:rPr>
          <w:rFonts w:ascii="Calibri" w:hAnsi="Calibri"/>
          <w:b w:val="0"/>
          <w:color w:val="3A4A28"/>
          <w:sz w:val="20"/>
        </w:rPr>
        <w:t>CEO and CFO insider selling ($2.8M and 39K shares respectively) during the critical pre-BLA period, combined with the September 2025 securities fraud lawsuit, undermine market confidence in management conviction [6]</w:t>
      </w:r>
    </w:p>
    <w:p>
      <w:pPr>
        <w:spacing w:before="40" w:after="40"/>
        <w:ind w:left="283"/>
      </w:pPr>
      <w:r>
        <w:rPr>
          <w:rFonts w:ascii="Calibri" w:hAnsi="Calibri"/>
          <w:b/>
          <w:color w:val="4A6B25"/>
          <w:sz w:val="20"/>
        </w:rPr>
        <w:t xml:space="preserve">3. </w:t>
      </w:r>
      <w:r>
        <w:rPr>
          <w:rFonts w:ascii="Calibri" w:hAnsi="Calibri"/>
          <w:b w:val="0"/>
          <w:color w:val="3A4A28"/>
          <w:sz w:val="20"/>
        </w:rPr>
        <w:t>Cash runway of ~5.5 quarters ($358M at $65M/quarter burn) covers the expected PDUFA timeline but leaves minimal margin for delays, and a pre-approval capital raise would be dilutive at the current $1.5B market cap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MoonLake's core business — developing and potentially commercializing a biologic Nanobody drug for inflammatory diseases — is well-protected from AI disruption. Biologic drug manufacturing, clinical trial execution, and FDA regulatory pathways involve complex physical-world and regulatory processes that AI cannot replace [1]. Injectable biologic therapies require physician prescription, patient monitoring, and supply chain logistics that are inherently physical. However, AI is accelerating drug discovery for competitors, potentially enabling faster development of next-generation anti-IL-17 or anti-inflammatory therapies that could compete with sonelokimab. AI Opportunity (0/1): MoonLake does not generate any AI-related revenue and has not disclosed use of AI tools in its drug development pipeline. The company relies on traditional Nanobody engineering and clinical development methodologies.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MoonLake Immunotherapeutics Corporate Website — About Us, Single-Asset Strategy, Sonelokimab Nanobody Technology, moonlaketx.com</w:t>
      </w:r>
    </w:p>
    <w:p>
      <w:pPr>
        <w:spacing w:before="20" w:after="20"/>
        <w:ind w:left="170"/>
      </w:pPr>
      <w:r>
        <w:rPr>
          <w:rFonts w:ascii="Calibri" w:hAnsi="Calibri"/>
          <w:b/>
          <w:color w:val="4A6B25"/>
          <w:sz w:val="15"/>
        </w:rPr>
        <w:t xml:space="preserve">2. </w:t>
      </w:r>
      <w:r>
        <w:rPr>
          <w:rFonts w:ascii="Calibri" w:hAnsi="Calibri"/>
          <w:b w:val="0"/>
          <w:color w:val="3A4A28"/>
          <w:sz w:val="17"/>
        </w:rPr>
        <w:t>MoonLake Week 52 Phase 3 VELA Program Results — 67% HiSCR75 Response in HS, June 2026; Week 40 Results at 2026 AAD Annual Meeting</w:t>
      </w:r>
    </w:p>
    <w:p>
      <w:pPr>
        <w:spacing w:before="20" w:after="20"/>
        <w:ind w:left="170"/>
      </w:pPr>
      <w:r>
        <w:rPr>
          <w:rFonts w:ascii="Calibri" w:hAnsi="Calibri"/>
          <w:b/>
          <w:color w:val="4A6B25"/>
          <w:sz w:val="15"/>
        </w:rPr>
        <w:t xml:space="preserve">3. </w:t>
      </w:r>
      <w:r>
        <w:rPr>
          <w:rFonts w:ascii="Calibri" w:hAnsi="Calibri"/>
          <w:b w:val="0"/>
          <w:color w:val="3A4A28"/>
          <w:sz w:val="17"/>
        </w:rPr>
        <w:t>MoonLake FDA Pre-BLA Meeting — Positive Outcome Confirming No Additional Clinical Trials Needed for HS BLA, May 2026</w:t>
      </w:r>
    </w:p>
    <w:p>
      <w:pPr>
        <w:spacing w:before="20" w:after="20"/>
        <w:ind w:left="170"/>
      </w:pPr>
      <w:r>
        <w:rPr>
          <w:rFonts w:ascii="Calibri" w:hAnsi="Calibri"/>
          <w:b/>
          <w:color w:val="4A6B25"/>
          <w:sz w:val="15"/>
        </w:rPr>
        <w:t xml:space="preserve">4. </w:t>
      </w:r>
      <w:r>
        <w:rPr>
          <w:rFonts w:ascii="Calibri" w:hAnsi="Calibri"/>
          <w:b w:val="0"/>
          <w:color w:val="3A4A28"/>
          <w:sz w:val="17"/>
        </w:rPr>
        <w:t>MoonLake FDA Fast Track Designation for PPP and Three New Clinical Trial Initiations Expanding Indication Portfolio, February-June 2026</w:t>
      </w:r>
    </w:p>
    <w:p>
      <w:pPr>
        <w:spacing w:before="20" w:after="20"/>
        <w:ind w:left="170"/>
      </w:pPr>
      <w:r>
        <w:rPr>
          <w:rFonts w:ascii="Calibri" w:hAnsi="Calibri"/>
          <w:b/>
          <w:color w:val="4A6B25"/>
          <w:sz w:val="15"/>
        </w:rPr>
        <w:t xml:space="preserve">5. </w:t>
      </w:r>
      <w:r>
        <w:rPr>
          <w:rFonts w:ascii="Calibri" w:hAnsi="Calibri"/>
          <w:b w:val="0"/>
          <w:color w:val="3A4A28"/>
          <w:sz w:val="17"/>
        </w:rPr>
        <w:t>MoonLake Q1 2026 Financial Results — EPS -$0.98, Cash $357.9M, ~$65M Quarterly Burn Rate, May 2026</w:t>
      </w:r>
    </w:p>
    <w:p>
      <w:pPr>
        <w:spacing w:before="20" w:after="20"/>
        <w:ind w:left="170"/>
      </w:pPr>
      <w:r>
        <w:rPr>
          <w:rFonts w:ascii="Calibri" w:hAnsi="Calibri"/>
          <w:b/>
          <w:color w:val="4A6B25"/>
          <w:sz w:val="15"/>
        </w:rPr>
        <w:t xml:space="preserve">6. </w:t>
      </w:r>
      <w:r>
        <w:rPr>
          <w:rFonts w:ascii="Calibri" w:hAnsi="Calibri"/>
          <w:b w:val="0"/>
          <w:color w:val="3A4A28"/>
          <w:sz w:val="17"/>
        </w:rPr>
        <w:t>Motley Fool — MoonLake CFO Sells 39K Shares, July 2026; CEO Santos da Silva $2.8M Share Sale,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