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MOH</w:t>
      </w:r>
      <w:r>
        <w:rPr>
          <w:rFonts w:ascii="Calibri" w:hAnsi="Calibri"/>
          <w:b/>
          <w:color w:val="1A2010"/>
          <w:sz w:val="40"/>
        </w:rPr>
        <w:t xml:space="preserve">  Molina Healthcare, Inc.</w:t>
      </w:r>
    </w:p>
    <w:p>
      <w:pPr>
        <w:spacing w:after="120"/>
      </w:pPr>
      <w:r>
        <w:rPr>
          <w:rFonts w:ascii="Calibri" w:hAnsi="Calibri"/>
          <w:b/>
          <w:color w:val="6E8450"/>
          <w:sz w:val="18"/>
        </w:rPr>
        <w:t>GROWTH SLEEVE · 2026-07-21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Molina Healthcare, Inc. is a Fortune 500 managed care organization that provides government-sponsored healthcare programs to low-income individuals and families, including Medicaid, Medicare, and Marketplace (ACA exchange) plans. Founded by Dr. C. David Molina in 1980 to serve underserved communities, the company now operates in over 20 US states and serves approximately 5.0 million members as of March 2026. Under CEO Joseph Zubretsky (since 2017), Molina has transformed from a troubled regional health plan into a disciplined, margin-focused national managed care company with approximately $42B in annual premium revenue.</w:t>
      </w:r>
    </w:p>
    <w:p>
      <w:r>
        <w:rPr>
          <w:rFonts w:ascii="Calibri" w:hAnsi="Calibri"/>
          <w:b/>
          <w:color w:val="6E8450"/>
          <w:sz w:val="18"/>
        </w:rPr>
        <w:t>16,000 Employees · https://www.molinahealthcare.com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Zubretsky, Molina has expanded from a regional Medicaid plan to a multi-state, multi-product national managed care company through disciplined acquisitions and contract wins, growing from ~3 million to 5.0 million members [1][2]. This represents meaningful business expansion, but it is M&amp;A-driven growth within the same business model (government-sponsored managed care), not product innovation or business model transformation. AI Deployment (0/2): No evidence of AI-powered products, AI-driven cost savings, or AI strategy was identified in research. Managed care companies have not been early adopters of customer-facing AI, though operational AI for claims processing and utilization management is likely in use industry-wide. Market Share (1/2): Molina is a significant player in Medicaid managed care, serving 5.0 million members across 20+ states [1]. However, it is not the market leader -- UnitedHealth, Centene, and Elevance are all larger in government-sponsored plans. Molina competes effectively but does not dominate. Product Pipeline (1/2): Molina has set ambitious growth targets: $46B in 2026 premium revenue and multi-year plans for 2027-2029 [2]. The company continues to pursue new state Medicaid contracts and ACA expansion. However, these are contract wins within the existing business model, not product innovation. R&amp;D Intensity (0/1): Healthcare plans do not have traditional R&amp;D functions. Molina does not invest in drug discovery, medical devices, or technology products that would generate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Molina's mission is 'to improve the health and lives of our members by delivering high-quality health care' with a focus on serving low-income and underserved populations [3]. The company was founded by Dr. C. David Molina specifically to serve the uninsured, giving the mission historical authenticity. However, under Zubretsky's leadership since 2017, the company's strategic language has shifted toward 'operational discipline,' 'margin management,' and being 'the low cost, most effective and reliable health plan' -- language that is more operational than inspirational. The mission identifies what Molina does (healthcare) and for whom (underserved populations) but doesn't articulate a transformative vision. Community Impact (1/2): Serving 5.0 million low-income Medicaid and Medicare members is inherently community-serving, and the company addresses social determinants of health as part of its care model [3]. However, this is the core business model (paid for by government contracts), not separate distinctive philanthropy. No specific foundation, charitable giving programs, or community investment with dollar amounts was identified. Employee Retention (0/2): No specific employee tenure, turnover, or retention data was found. The company has approximately 16,000 employees. Insider Buying (0/2): CEO Zubretsky's employment agreement was extended through at least 2027, demonstrating board confidence in leadership continuity [2]. However, this is a compensation contract, not voluntary insider purchasing. No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Molina's infrastructure is anchored by strong historical revenue growth (5-year CAGR of approximately 16%, well above the 10% target) and moderate debt levels (D/E of 92.3%, scoring 0.90 against the 70-300% scale) [1][5][6]. However, significant weaknesses emerged in 2026: the company slashed full-year adjusted EPS guidance to $5, far below the $13.71 consensus, pushing the forward P/E to approximately 38.2 (scoring 0.55) [2][4]. The TTM profit margin of 1.04% is extremely thin for any business, reflecting rising medical costs, Medicaid redetermination headwinds, and Florida contract issues [1][5]. ROE has deteriorated from 26.22% in 2024 to approximately 11% TTM as profitability compressed. The PEG ratio is excluded from scoring due to negative forward EPS growth (guided $5 vs prior-year ~$19). Liquidity is adequate at approximately $115M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Molina Healthcare operates with a predominantly finite mindset under CEO Zubretsky. While the company's founding purpose of serving underserved communities is genuine, the current strategic language is dominated by operational metrics -- margins, cost ratios, earnings guidance -- rather than purpose-driven vision. The dramatic EPS guidance cut to $5 (from $13.71 consensus) and subsequent shareholder governance changes suggest a company managing short-term financial pressures rather than investing for long-term mission advancement. Sinek would note that the founding Just Cause of Dr. Molina has been subordinated to financial engineering under professional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Molina was founded by Dr. C. David Molina in 1980 with a genuine Just Cause -- providing healthcare to people who couldn't otherwise access it [3]. This founding purpose was authentic, idealistic, and service-oriented. However, under CEO Zubretsky's tenure since 2017, the company's strategic identity has shifted from mission-driven healthcare to margin-focused operational excellence. The 2026 guidance call centered on MCR ratios, retroactive adjustments, and EPS targets rather than patient outcomes or community health impact [1][4]. When a company's leadership discussion is dominated by financial engineering rather than purpose, Sinek would argue the Just Cause has been diluted. The mission still exists on the website, but it does not appear to drive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Zubretsky's tenure since 2017 provides leadership stability, and his contract extension through 2027 signals board confidence [2]. The company successfully transformed from a troubled organization to a disciplined operator, suggesting effective management. However, no specific data on employee empowerment, psychological safety, or cultural practices was identified. The company's operational discipline and margin focus suggest a results-oriented culture that may prioritize execution over employee empowerment. No major cultural red flags (mass layoffs, executive turnover)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Molina's competitive positioning focuses on being the 'low cost, most effective and reliable health plan' [3]. The strategic language is about outperforming competitors on cost efficiency and MCR management -- fundamentally a finite frame of beating others on operational metrics rather than learning from rivals' strengths. Zubretsky's strategy centers on acquisitive growth (buying health plans in new states) and operational discipline, not on studying competitors' innovations and improving. UnitedHealth's massive technology investments and Centene's scale advantages are treated as competitive threats to counter, not as worthy rivals to learn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Molina has evolved from a single-state Medicaid plan to a multi-state, multi-product managed care company serving 5.0 million members across Medicaid, Medicare, and Marketplace plans [1]. The company has demonstrated willingness to enter new markets (ACA exchanges), acquire competitors, and expand its product portfolio. Under Zubretsky, the strategic pivot from a family-led clinical organization to a professionally managed, margin-focused operator was a meaningful business model evolution. However, these changes are incremental extensions of the same fundamental business (government-sponsored managed care),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Zubretsky's transformation of Molina from a troubled, money-losing company into a profitable, disciplined operator required making difficult decisions -- restructuring operations, improving MCR management, and pursuing strategic acquisitions [2]. The ambition to grow from $20B+ to $46B in revenue through organic and acquisitive growth represents meaningful strategic conviction. However, the 2026 EPS guidance cut from $13.71 consensus to $5 exposed that the company's growth had outpaced its ability to manage medical costs effectively, raising questions about whether aggressive growth targets prioritized financial ambition over operational sustainability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Molina Healthcare offers a turnaround opportunity within government-sponsored managed care, trading at a trailing P/E of 10.99 following the dramatic 2026 EPS guidance cut that triggered a 23% stock decline [4][6]. The company serves 5.0 million members across 20+ states with $42B in annual premium revenue, anchored by long-term Medicaid contracts with high barriers to entry [1]. Q1 2026 adjusted EPS of $2.35 exceeded analyst expectations by 31%, with MCR of 91.1% showing disciplined medical cost management [1]. Management has set ambitious 2027-2029 growth targets and CEO Zubretsky's contract extension through 2027 signals leadership continuity [2]. The Inspire Insight ALIGNED rating with 12 positive attributions and zero negatives makes MOH a strong candidate for faith-aligned portfolios seeking healthcare exposure. Revenue growth 5-year CAGR of 16% demonstrates consistent scale expansion.</w:t>
      </w:r>
    </w:p>
    <w:p>
      <w:pPr>
        <w:spacing w:after="120"/>
      </w:pPr>
      <w:r>
        <w:rPr>
          <w:rFonts w:ascii="Calibri" w:hAnsi="Calibri"/>
          <w:b w:val="0"/>
          <w:color w:val="3A4A28"/>
          <w:sz w:val="20"/>
        </w:rPr>
        <w:t>The bear case is severe: Molina slashed 2026 adjusted EPS guidance to 'at least $5,' far below the $13.71 consensus, driven by $2/share retroactive Medicaid rate adjustments and $1.50/share Florida contract costs [4]. This guidance cut exposed structural margin pressures -- the 1.04% TTM net profit margin is razor-thin for any business, and Medicaid membership attrition is expected to increase to 6% in 2026. The forward P/E of ~38x (at company guidance) is elevated for a managed care company with declining near-term earnings, and the stock trades at a significant premium to its five-year median P/E of 14.69 [6]. Regulatory risk is persistent -- Medicaid rate adequacy varies by state, and political changes in healthcare policy could impact the company's government-dependent revenue base. The company's aggressive acquisition strategy must be balanced against integration risk and medical cost management in newly acquired health plans.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Medicaid rate adequacy improvements as states adjust payments to reflect the sicker post-PHE (Public Health Emergency) member population, potentially restoring margins toward historical MCR levels below 89%</w:t>
      </w:r>
    </w:p>
    <w:p>
      <w:pPr>
        <w:spacing w:before="40" w:after="40"/>
        <w:ind w:left="283"/>
      </w:pPr>
      <w:r>
        <w:rPr>
          <w:rFonts w:ascii="Calibri" w:hAnsi="Calibri"/>
          <w:b/>
          <w:color w:val="4A6B25"/>
          <w:sz w:val="20"/>
        </w:rPr>
        <w:t xml:space="preserve">2. </w:t>
      </w:r>
      <w:r>
        <w:rPr>
          <w:rFonts w:ascii="Calibri" w:hAnsi="Calibri"/>
          <w:b w:val="0"/>
          <w:color w:val="3A4A28"/>
          <w:sz w:val="20"/>
        </w:rPr>
        <w:t>New state contract wins and ACA exchange expansion driving revenue toward the $46B 2026 target and supporting the multi-year 2027-2029 growth framework</w:t>
      </w:r>
    </w:p>
    <w:p>
      <w:pPr>
        <w:spacing w:before="40" w:after="40"/>
        <w:ind w:left="283"/>
      </w:pPr>
      <w:r>
        <w:rPr>
          <w:rFonts w:ascii="Calibri" w:hAnsi="Calibri"/>
          <w:b/>
          <w:color w:val="4A6B25"/>
          <w:sz w:val="20"/>
        </w:rPr>
        <w:t xml:space="preserve">3. </w:t>
      </w:r>
      <w:r>
        <w:rPr>
          <w:rFonts w:ascii="Calibri" w:hAnsi="Calibri"/>
          <w:b w:val="0"/>
          <w:color w:val="3A4A28"/>
          <w:sz w:val="20"/>
        </w:rPr>
        <w:t>Resolution of the $2/share retroactive Medicaid adjustments and $1.50/share Florida contract costs as one-time headwinds that normalize in subsequent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adjusted EPS guidance of $5 (vs. $13.71 consensus) exposes structural margin pressures from rising medical costs, Medicaid redetermination attrition (6% expected), and retroactive rate adjustments that may persist beyond 2026</w:t>
      </w:r>
    </w:p>
    <w:p>
      <w:pPr>
        <w:spacing w:before="40" w:after="40"/>
        <w:ind w:left="283"/>
      </w:pPr>
      <w:r>
        <w:rPr>
          <w:rFonts w:ascii="Calibri" w:hAnsi="Calibri"/>
          <w:b/>
          <w:color w:val="4A6B25"/>
          <w:sz w:val="20"/>
        </w:rPr>
        <w:t xml:space="preserve">2. </w:t>
      </w:r>
      <w:r>
        <w:rPr>
          <w:rFonts w:ascii="Calibri" w:hAnsi="Calibri"/>
          <w:b w:val="0"/>
          <w:color w:val="3A4A28"/>
          <w:sz w:val="20"/>
        </w:rPr>
        <w:t>Forward P/E of ~38x at company guidance is far above the managed care industry average of 17x and Molina's own five-year median of 14.69x, leaving significant downside if margins do not recover</w:t>
      </w:r>
    </w:p>
    <w:p>
      <w:pPr>
        <w:spacing w:before="40" w:after="40"/>
        <w:ind w:left="283"/>
      </w:pPr>
      <w:r>
        <w:rPr>
          <w:rFonts w:ascii="Calibri" w:hAnsi="Calibri"/>
          <w:b/>
          <w:color w:val="4A6B25"/>
          <w:sz w:val="20"/>
        </w:rPr>
        <w:t xml:space="preserve">3. </w:t>
      </w:r>
      <w:r>
        <w:rPr>
          <w:rFonts w:ascii="Calibri" w:hAnsi="Calibri"/>
          <w:b w:val="0"/>
          <w:color w:val="3A4A28"/>
          <w:sz w:val="20"/>
        </w:rPr>
        <w:t>Government-dependent revenue model creates regulatory risk from Medicaid rate changes, state budget pressures, and potential federal healthcare policy shifts that are beyond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Molina Healthcare's core business -- government-sponsored managed care -- is deeply protected from AI disruption by multiple structural moats [1]. State Medicaid contracts require regulatory licensing, compliance infrastructure, government relationships, and multi-year procurement processes that AI cannot replicate. Provider network management requires physical healthcare relationships and contractual arrangements. Claims adjudication and utilization management, while potentially enhanced by AI tools, require regulatory compliance and human oversight. The government payer relationships and state-by-state licensing create high barriers to entry that are regulatory, not technological. However, AI could theoretically enable new entrants to more efficiently manage care or could be used by larger competitors (UnitedHealth, Centene) to achieve scale advantages in administrative efficiency. AI Opportunity (0/1): No specific AI products or AI-driven revenue streams were identified. While Molina likely uses technology for claims processing and care management, no quantifiable AI revenue contribution was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Molina Healthcare Q1 2026 Earnings Release and Financial Results -- MolinaHealthcare.com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Molina Healthcare FY2026 Guidance and 2027-2029 Growth Targets -- Smartkarma Earnings Alert, February 2026</w:t>
      </w:r>
    </w:p>
    <w:p>
      <w:pPr>
        <w:spacing w:before="20" w:after="20"/>
        <w:ind w:left="170"/>
      </w:pPr>
      <w:r>
        <w:rPr>
          <w:rFonts w:ascii="Calibri" w:hAnsi="Calibri"/>
          <w:b/>
          <w:color w:val="4A6B25"/>
          <w:sz w:val="15"/>
        </w:rPr>
        <w:t xml:space="preserve">3. </w:t>
      </w:r>
      <w:r>
        <w:rPr>
          <w:rFonts w:ascii="Calibri" w:hAnsi="Calibri"/>
          <w:b w:val="0"/>
          <w:color w:val="3A4A28"/>
          <w:sz w:val="17"/>
        </w:rPr>
        <w:t>Molina Healthcare Mission, Vision and Values -- MolinaHealthcare.com,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AInvest -- Molina Healthcare: A Sector Rotation Signal After the Guidance Reckoning, February 2026</w:t>
      </w:r>
    </w:p>
    <w:p>
      <w:pPr>
        <w:spacing w:before="20" w:after="20"/>
        <w:ind w:left="170"/>
      </w:pPr>
      <w:r>
        <w:rPr>
          <w:rFonts w:ascii="Calibri" w:hAnsi="Calibri"/>
          <w:b/>
          <w:color w:val="4A6B25"/>
          <w:sz w:val="15"/>
        </w:rPr>
        <w:t xml:space="preserve">5. </w:t>
      </w:r>
      <w:r>
        <w:rPr>
          <w:rFonts w:ascii="Calibri" w:hAnsi="Calibri"/>
          <w:b w:val="0"/>
          <w:color w:val="3A4A28"/>
          <w:sz w:val="17"/>
        </w:rPr>
        <w:t>SEC Filing -- MOH 10-Q for Q1 2026,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MOH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