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NEO</w:t>
      </w:r>
      <w:r>
        <w:rPr>
          <w:rFonts w:ascii="Calibri" w:hAnsi="Calibri"/>
          <w:b/>
          <w:color w:val="1A2010"/>
          <w:sz w:val="40"/>
        </w:rPr>
        <w:t xml:space="preserve">  NeoGenomics, Inc.</w:t>
      </w:r>
    </w:p>
    <w:p>
      <w:pPr>
        <w:spacing w:after="120"/>
      </w:pPr>
      <w:r>
        <w:rPr>
          <w:rFonts w:ascii="Calibri" w:hAnsi="Calibri"/>
          <w:b/>
          <w:color w:val="6E8450"/>
          <w:sz w:val="18"/>
        </w:rPr>
        <w:t>GROWTH SLEEVE · 2026-07-20 · Inspire: 57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Diagnostics &amp; Research · NASDAQ · United States</w:t>
      </w:r>
    </w:p>
    <w:p>
      <w:pPr>
        <w:spacing w:after="80"/>
      </w:pPr>
      <w:r>
        <w:rPr>
          <w:rFonts w:ascii="Calibri" w:hAnsi="Calibri"/>
          <w:b w:val="0"/>
          <w:color w:val="3A4A28"/>
          <w:sz w:val="20"/>
        </w:rPr>
        <w:t>NeoGenomics, Inc. operates a network of cancer-focused testing laboratories in the United States and the United Kingdom. The company provides cytogenetics, FISH, flow cytometry, immunohistochemistry, molecular testing, and next-generation sequencing (NGS) services to hospitals, academic centers, oncologists, pharmaceutical companies, and clinical laboratories. Founded in 2001, headquartered in Fort Myers, Florida.</w:t>
      </w:r>
    </w:p>
    <w:p>
      <w:r>
        <w:rPr>
          <w:rFonts w:ascii="Calibri" w:hAnsi="Calibri"/>
          <w:b/>
          <w:color w:val="6E8450"/>
          <w:sz w:val="18"/>
        </w:rPr>
        <w:t>2,500 Employees · https://www.neogenomics.com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Innovation Track Record (2/3): NeoGenomics successfully launched RaDaR ST (minimal residual disease monitoring) and received MolDx approval for PanTracer liquid biopsy in early 2026, opening large addressable markets in precision oncology diagnostics [1]. NGS revenue grew 26% in Q1 2026 and now represents approximately one-third of total clinical revenue, up from roughly one-fifth two years ago [1]. AI Deployment (1/2): The company has a VP of Digital Strategy focused on leveraging AI and automation for operational efficiency and improved diagnostic outcomes, and NGS bioinformatics pipelines incorporate machine learning for variant calling, though quantified AI-specific revenue has not been disclosed [3]. Market Share Leadership (1/2): NeoGenomics is a meaningful player in oncology diagnostics but competes against larger players including Quest, Labcorp, and Foundation Medicine; differentiated positioning as a cancer-focused pure-play but not the category leader [1]. Product Pipeline (1/2): RaDaR ST launched with expected mid-single-digit million revenue contribution; PanTracer liquid biopsy approved; continued NGS expansion provides near-term visibility, though pipeline beyond these launches is not well-detailed [1][2]. R&amp;D Intensity (1/1): Meaningful investment in molecular and NGS capabilities relative to specialty diagnostic peers, evidenced by expanding test menu, RaDaR ST development, and PanTracer advancement.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NeoGenomics' mission — 'We save lives by improving patient care' through cancer diagnostics — is specific, thoughtful, and connects the company's work to a genuine life-saving purpose [4]. Leadership references it in strategic communications, and the cancer testing focus gives it distinctive emotional weight compared to generic lab company messaging. Community Impact (1/2): The 2023 CSR Report highlights environmental initiatives (310 tons recycled via NeoGreen program, 24.5% waste recycled) and community engagement, with the 2023 Employee Engagement Survey showing net improvements in happiness and engagement metrics [5]. Employee Retention (1/2): Voluntary employee turnover decreased to 13% per the ESG report — meaningful improvement though approximately industry average for healthcare [5]. The Q1 2026 earnings highlighted ongoing investment in talent and capabilities, but CEO Tony Zook's appointment in April 2025 marks the latest in a series of leadership transitions that creates organizational uncertainty [3]. Insider Buying (0/2): No evidence of meaningful net insider buying with personal funds identified; historical insider transactions appear compensation-related rather than conviction-driven open market purchases [6].</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Q1 2026 revenue of $187M grew 11% YoY with clinical revenue up 14% and NGS growth of 26%, while full-year 2026 guidance was raised to $797-803M with adjusted EBITDA of $55-57M (27-31% growth YoY) [1]. Average unit price increased 8% YoY while test volumes grew 6%, demonstrating both pricing power and volume momentum [1]. However, the company remains unprofitable with -13% ROE, negative profit margin, and a net loss that decreased 34% in Q1 but has not yet reached breakeven [1][7]. D/E of 49% is well below the 70% target. Revenue growth 5yr CAGR of approximately 12.6% exceeds targets. The stock price appreciation to $10.45 from $8.35 (25% increase since April) has stretched the forward valuation somewhat, though guidance raises partially offset. Convertible notes were priced at a 35% premium in June 2026, signaling institutional confidence [8]. Liquidity passes at $19.5M daily traded value [7].</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NeoGenomics has a genuine purpose in cancer diagnostics that aligns with infinite-game thinking, but recent leadership instability undermines organizational continuity. The CEO transition to Tony Zook in April 2025 marks the latest in a series of leadership changes, and Glassdoor reviews cite concerns about 'new leadership sacrificing long-term vision for short-term impact.' The company plays in a market that matters — improving cancer diagnosis — but execution has been uneven, and the organizational foundation remains unsettled.</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'We save lives by improving patient care' connected to cancer diagnostics is a genuine cause with real-world impact. The focus on oncology — where accurate diagnostics directly influence treatment decisions and patient survival — gives NeoGenomics a purpose that transcends financial metrics [4]. However, the cause has not been tested through decades of consistent execution under stable leadership; the company is only 25 years old and has changed leadership and strategy multiple times. A genuine but partially lived cause.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Glassdoor reviews indicate cultural challenges — employees cite 'new leadership seems to have sacrificed long-term vision for short-term impact,' with problematic behavior from parts of the leadership team 'regularly tolerated' and career advancement depending 'more on connections than merit or performance' [3]. Frequent executive leadership turnover over the past several years has created repeated operational adjustments and changing internal priorities, making long-term planning difficult. The pattern of leadership change undermines the psychological safety Sinek considers foundational.</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NeoGenomics positions itself as a cancer diagnostics pure-play against larger competitors, but competitive language focuses on differentiation and market positioning rather than learning from rivals. Management does not publicly reference Quest, Labcorp, or Foundation Medicine as worthy rivals whose strengths inform NeoGenomics' improvement [1][2].</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NeoGenomics has evolved from basic cytogenetics into next-generation sequencing and molecular diagnostics, with NGS now growing 26% and representing a third of clinical revenue [1]. The launch of RaDaR ST and PanTracer liquid biopsy represent meaningful strategic evolution into precision medicine. These are incremental evolutions driven by market trends rather than transformative reinvention of the business model.</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Investing in NGS capabilities, RaDaR ST development, and PanTracer liquid biopsy while still unprofitable shows willingness to prioritize long-term capability over immediate earnings. The company raised 2026 adjusted EBITDA guidance to $55-57M while continuing to invest in platform expansion [1][2]. However, management's ability to sustain these investments through the current profitability trough is unproven under relatively new CEO leadership.</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NeoGenomics offers pure-play exposure to the precision oncology diagnostics market, with Q1 2026 revenue of $187M growing 11% YoY driven by accelerating NGS growth of 26% that now represents a third of clinical revenue [1]. Full-year 2026 guidance was raised to $797-803M with adjusted EBITDA of $55-57M (27-31% YoY growth), representing a clear profitability inflection trajectory [1]. The RaDaR ST launch and PanTracer MolDx approval add high-margin, clinically differentiated products to the portfolio, while average unit price increases of 8% demonstrate pricing power [1]. The June 2026 convertible note offering priced at a 35% premium signals strong institutional demand [8].</w:t>
      </w:r>
    </w:p>
    <w:p>
      <w:pPr>
        <w:spacing w:after="120"/>
      </w:pPr>
      <w:r>
        <w:rPr>
          <w:rFonts w:ascii="Calibri" w:hAnsi="Calibri"/>
          <w:b w:val="0"/>
          <w:color w:val="3A4A28"/>
          <w:sz w:val="20"/>
        </w:rPr>
        <w:t>The bear case centers on persistent unprofitability and execution risk. Despite $187M quarterly revenue and improving loss trajectory (net loss decreased 34% YoY in Q1), NeoGenomics still generates negative ROE of -13% and negative profit margin — the path to GAAP profitability remains unproven [1][7]. CEO Tony Zook was appointed only in April 2025 and faces Glassdoor culture concerns with employees citing 'resistance to innovation' and favoritism in career advancement [3]. AI-powered pathology from Paige AI, PathAI, and Google Health poses medium-term disruption risk to NeoGenomics' image-based diagnostics business lines. The stock's 25% appreciation since April to $10.45 has stretched the forward valuation, while competition from Quest, Labcorp, and Foundation Medicine with vastly greater scale could compress margins as NGS testing commoditizes.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RaDaR ST and PanTracer liquid biopsy launches establishing NeoGenomics in the high-growth minimal residual disease and liquid biopsy market segments, with large newly accessible addressable markets [1]</w:t>
      </w:r>
    </w:p>
    <w:p>
      <w:pPr>
        <w:spacing w:before="40" w:after="40"/>
        <w:ind w:left="283"/>
      </w:pPr>
      <w:r>
        <w:rPr>
          <w:rFonts w:ascii="Calibri" w:hAnsi="Calibri"/>
          <w:b/>
          <w:color w:val="4A6B25"/>
          <w:sz w:val="20"/>
        </w:rPr>
        <w:t xml:space="preserve">2. </w:t>
      </w:r>
      <w:r>
        <w:rPr>
          <w:rFonts w:ascii="Calibri" w:hAnsi="Calibri"/>
          <w:b w:val="0"/>
          <w:color w:val="3A4A28"/>
          <w:sz w:val="20"/>
        </w:rPr>
        <w:t>Profitability inflection with raised guidance of $55-57M adjusted EBITDA in 2026, potentially triggering re-rating from unprofitable growth to profitable diagnostics platform [1]</w:t>
      </w:r>
    </w:p>
    <w:p>
      <w:pPr>
        <w:spacing w:before="40" w:after="40"/>
        <w:ind w:left="283"/>
      </w:pPr>
      <w:r>
        <w:rPr>
          <w:rFonts w:ascii="Calibri" w:hAnsi="Calibri"/>
          <w:b/>
          <w:color w:val="4A6B25"/>
          <w:sz w:val="20"/>
        </w:rPr>
        <w:t xml:space="preserve">3. </w:t>
      </w:r>
      <w:r>
        <w:rPr>
          <w:rFonts w:ascii="Calibri" w:hAnsi="Calibri"/>
          <w:b w:val="0"/>
          <w:color w:val="3A4A28"/>
          <w:sz w:val="20"/>
        </w:rPr>
        <w:t>Accelerating NGS revenue growth at 26% with expanding molecular testing menu, deepening pharma companion diagnostic partnerships, and average unit price increases of 8% demonstrating pricing power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AI-powered pathology tools from Paige AI, PathAI, and Google Health could partially automate IHC, cytogenetics, and morphology reading — NeoGenomics' traditional core services — compressing margins and reducing demand for human-operated diagnostic labs over 3-5 years</w:t>
      </w:r>
    </w:p>
    <w:p>
      <w:pPr>
        <w:spacing w:before="40" w:after="40"/>
        <w:ind w:left="283"/>
      </w:pPr>
      <w:r>
        <w:rPr>
          <w:rFonts w:ascii="Calibri" w:hAnsi="Calibri"/>
          <w:b/>
          <w:color w:val="4A6B25"/>
          <w:sz w:val="20"/>
        </w:rPr>
        <w:t xml:space="preserve">2. </w:t>
      </w:r>
      <w:r>
        <w:rPr>
          <w:rFonts w:ascii="Calibri" w:hAnsi="Calibri"/>
          <w:b w:val="0"/>
          <w:color w:val="3A4A28"/>
          <w:sz w:val="20"/>
        </w:rPr>
        <w:t>Persistent GAAP unprofitability despite improving trajectory creates cash burn risk; the June 2026 convertible note offering, while priced at a premium, adds to the $410M debt load and potential future dilution [7][8]</w:t>
      </w:r>
    </w:p>
    <w:p>
      <w:pPr>
        <w:spacing w:before="40" w:after="40"/>
        <w:ind w:left="283"/>
      </w:pPr>
      <w:r>
        <w:rPr>
          <w:rFonts w:ascii="Calibri" w:hAnsi="Calibri"/>
          <w:b/>
          <w:color w:val="4A6B25"/>
          <w:sz w:val="20"/>
        </w:rPr>
        <w:t xml:space="preserve">3. </w:t>
      </w:r>
      <w:r>
        <w:rPr>
          <w:rFonts w:ascii="Calibri" w:hAnsi="Calibri"/>
          <w:b w:val="0"/>
          <w:color w:val="3A4A28"/>
          <w:sz w:val="20"/>
        </w:rPr>
        <w:t>Leadership instability with CEO Tony Zook's April 2025 appointment marking the latest in a series of transitions; Glassdoor reviews suggest cultural headwinds with favoritism and short-term thinking that could impair the innovation pipeline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(4/9): Cancer diagnostics faces meaningful AI exposure. AI-powered pathology and diagnostic tools from companies like Paige AI, PathAI, and Google Health are demonstrating ability to read tissue slides, identify genetic markers, and interpret molecular data — core activities NeoGenomics performs with human pathologists and technicians [3]. While regulatory barriers (CLIA certification, FDA approval) provide near-term protection, AI could partially replace anatomic pathology workflows over 3-5 years. NeoGenomics' NGS testing (now 33% of clinical revenue, growing 26% [1]) is more defensible since it involves complex wet-lab chemistry that AI cannot replicate, but image-based diagnostics (IHC, cytogenetics) face real substitution risk as AI pathology matures. AI Opportunity (1/1): NeoGenomics deploys AI internally through its digital strategy initiative, leveraging automation for lab workflow efficiency, and NGS bioinformatics pipelines use ML for variant calling and interpretation — generating measurable operational value even if not separately reported as revenue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57</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NeoGenomics Q1 2026 Earnings Release — revenue $187M (+11% YoY), NGS growth 26%, clinical growth 14%, AUP +8%, guidance raised to $797-803M, EBITDA $55-57M, May 2026</w:t>
      </w:r>
    </w:p>
    <w:p>
      <w:pPr>
        <w:spacing w:before="20" w:after="20"/>
        <w:ind w:left="170"/>
      </w:pPr>
      <w:r>
        <w:rPr>
          <w:rFonts w:ascii="Calibri" w:hAnsi="Calibri"/>
          <w:b/>
          <w:color w:val="4A6B25"/>
          <w:sz w:val="15"/>
        </w:rPr>
        <w:t xml:space="preserve">2. </w:t>
      </w:r>
      <w:r>
        <w:rPr>
          <w:rFonts w:ascii="Calibri" w:hAnsi="Calibri"/>
          <w:b w:val="0"/>
          <w:color w:val="3A4A28"/>
          <w:sz w:val="17"/>
        </w:rPr>
        <w:t>NeoGenomics 2026 Product Launches — RaDaR ST launch, PanTracer MolDx approval, liquid biopsy addressable market expansion, 2026</w:t>
      </w:r>
    </w:p>
    <w:p>
      <w:pPr>
        <w:spacing w:before="20" w:after="20"/>
        <w:ind w:left="170"/>
      </w:pPr>
      <w:r>
        <w:rPr>
          <w:rFonts w:ascii="Calibri" w:hAnsi="Calibri"/>
          <w:b/>
          <w:color w:val="4A6B25"/>
          <w:sz w:val="15"/>
        </w:rPr>
        <w:t xml:space="preserve">3. </w:t>
      </w:r>
      <w:r>
        <w:rPr>
          <w:rFonts w:ascii="Calibri" w:hAnsi="Calibri"/>
          <w:b w:val="0"/>
          <w:color w:val="3A4A28"/>
          <w:sz w:val="17"/>
        </w:rPr>
        <w:t>Glassdoor — NeoGenomics Reviews (487 reviews), leadership culture concerns, AI/digital strategy under VP Elizabeth Floegel, accessed July 2026</w:t>
      </w:r>
    </w:p>
    <w:p>
      <w:pPr>
        <w:spacing w:before="20" w:after="20"/>
        <w:ind w:left="170"/>
      </w:pPr>
      <w:r>
        <w:rPr>
          <w:rFonts w:ascii="Calibri" w:hAnsi="Calibri"/>
          <w:b/>
          <w:color w:val="4A6B25"/>
          <w:sz w:val="15"/>
        </w:rPr>
        <w:t xml:space="preserve">4. </w:t>
      </w:r>
      <w:r>
        <w:rPr>
          <w:rFonts w:ascii="Calibri" w:hAnsi="Calibri"/>
          <w:b w:val="0"/>
          <w:color w:val="3A4A28"/>
          <w:sz w:val="17"/>
        </w:rPr>
        <w:t>NeoGenomics Corporate Website — 'We save lives by improving patient care' mission, cancer diagnostics focus, accessed July 2026</w:t>
      </w:r>
    </w:p>
    <w:p>
      <w:pPr>
        <w:spacing w:before="20" w:after="20"/>
        <w:ind w:left="170"/>
      </w:pPr>
      <w:r>
        <w:rPr>
          <w:rFonts w:ascii="Calibri" w:hAnsi="Calibri"/>
          <w:b/>
          <w:color w:val="4A6B25"/>
          <w:sz w:val="15"/>
        </w:rPr>
        <w:t xml:space="preserve">5. </w:t>
      </w:r>
      <w:r>
        <w:rPr>
          <w:rFonts w:ascii="Calibri" w:hAnsi="Calibri"/>
          <w:b w:val="0"/>
          <w:color w:val="3A4A28"/>
          <w:sz w:val="17"/>
        </w:rPr>
        <w:t>NeoGenomics 2023 CSR Report — NeoGreen recycling program (310 tons), 13% voluntary turnover, employee engagement improvements, March 2024</w:t>
      </w:r>
    </w:p>
    <w:p>
      <w:pPr>
        <w:spacing w:before="20" w:after="20"/>
        <w:ind w:left="170"/>
      </w:pPr>
      <w:r>
        <w:rPr>
          <w:rFonts w:ascii="Calibri" w:hAnsi="Calibri"/>
          <w:b/>
          <w:color w:val="4A6B25"/>
          <w:sz w:val="15"/>
        </w:rPr>
        <w:t xml:space="preserve">6. </w:t>
      </w:r>
      <w:r>
        <w:rPr>
          <w:rFonts w:ascii="Calibri" w:hAnsi="Calibri"/>
          <w:b w:val="0"/>
          <w:color w:val="3A4A28"/>
          <w:sz w:val="17"/>
        </w:rPr>
        <w:t>Yahoo Finance — NEO insider transactions and trading data, accessed July 2026</w:t>
      </w:r>
    </w:p>
    <w:p>
      <w:pPr>
        <w:spacing w:before="20" w:after="20"/>
        <w:ind w:left="170"/>
      </w:pPr>
      <w:r>
        <w:rPr>
          <w:rFonts w:ascii="Calibri" w:hAnsi="Calibri"/>
          <w:b/>
          <w:color w:val="4A6B25"/>
          <w:sz w:val="15"/>
        </w:rPr>
        <w:t xml:space="preserve">7. </w:t>
      </w:r>
      <w:r>
        <w:rPr>
          <w:rFonts w:ascii="Calibri" w:hAnsi="Calibri"/>
          <w:b w:val="0"/>
          <w:color w:val="3A4A28"/>
          <w:sz w:val="17"/>
        </w:rPr>
        <w:t>StockAnalysis / Yahoo Finance — NEO key statistics (D/E 49%, ROE -13%, stock price $10.45), accessed July 2026</w:t>
      </w:r>
    </w:p>
    <w:p>
      <w:pPr>
        <w:spacing w:before="20" w:after="20"/>
        <w:ind w:left="170"/>
      </w:pPr>
      <w:r>
        <w:rPr>
          <w:rFonts w:ascii="Calibri" w:hAnsi="Calibri"/>
          <w:b/>
          <w:color w:val="4A6B25"/>
          <w:sz w:val="15"/>
        </w:rPr>
        <w:t xml:space="preserve">8. </w:t>
      </w:r>
      <w:r>
        <w:rPr>
          <w:rFonts w:ascii="Calibri" w:hAnsi="Calibri"/>
          <w:b w:val="0"/>
          <w:color w:val="3A4A28"/>
          <w:sz w:val="17"/>
        </w:rPr>
        <w:t>NeoGenomics 2032 Convertible Notes priced at 35% premium, StockTitan, June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