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w:t>
      </w:r>
      <w:r>
        <w:rPr>
          <w:rFonts w:ascii="Calibri" w:hAnsi="Calibri"/>
          <w:b/>
          <w:color w:val="1A2010"/>
          <w:sz w:val="40"/>
        </w:rPr>
        <w:t xml:space="preserve">  Noble Corporation plc</w:t>
      </w:r>
    </w:p>
    <w:p>
      <w:pPr>
        <w:spacing w:after="120"/>
      </w:pPr>
      <w:r>
        <w:rPr>
          <w:rFonts w:ascii="Calibri" w:hAnsi="Calibri"/>
          <w:b/>
          <w:color w:val="6E8450"/>
          <w:sz w:val="18"/>
        </w:rPr>
        <w:t>GROWTH SLEEVE · 2026-07-19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United Kingdom</w:t>
      </w:r>
    </w:p>
    <w:p>
      <w:pPr>
        <w:spacing w:after="80"/>
      </w:pPr>
      <w:r>
        <w:rPr>
          <w:rFonts w:ascii="Calibri" w:hAnsi="Calibri"/>
          <w:b w:val="0"/>
          <w:color w:val="3A4A28"/>
          <w:sz w:val="20"/>
        </w:rPr>
        <w:t>Noble Corporation is an offshore drilling contractor operating a fleet of 36 mobile offshore drilling units (floaters and jackups) for the oil and gas industry worldwide, formed through the 2022 merger with Maersk Drilling and the 2024 acquisition of Diamond Offshore. The company serves clients in Africa, Far East Asia, the North Sea, Oceania, South America, and the U.S. Gulf of America, with a $7.5B contract backlog providing multi-year revenue visibility.</w:t>
      </w:r>
    </w:p>
    <w:p>
      <w:r>
        <w:rPr>
          <w:rFonts w:ascii="Calibri" w:hAnsi="Calibri"/>
          <w:b/>
          <w:color w:val="6E8450"/>
          <w:sz w:val="18"/>
        </w:rPr>
        <w:t>5,000 Employees · https://www.noblecorp.com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Noble completed two transformative mergers — Maersk Drilling (2022) and Diamond Offshore (2024) — building the largest high-specification offshore fleet in the industry, realizing $150M+ in Maersk synergies and over half of an estimated $100M in Diamond synergies to date [1]. AI Deployment (2/2): A five-year AI partnership has been fully implemented fleet-wide, delivering a documented 43% reduction in incident reporting and a 30% increase in workforce engagement through a predictive safety dashboard and an automated behavior-based safety program — described as the first technology in the offshore industry to combine physical and digital safety observation data using AI [2]. Market Share (1/2): Post-consolidation, Noble operates 36 rigs (31 owned) and is among the top three high-spec offshore drilling contractors globally alongside Transocean and Valaris, though not the outright category leader [1]. Pipeline (1/2): Reactivation of the Noble Deliverer rig (2026 capex guidance increased $25M for this purpose) and $7.5B backlog provide revenue visibility, though this is capacity restoration rather than next-generation technology [3]. R&amp;D Intensity (1/1): Noble is actively hiring for AI Program Manager and Senior Performance Data Specialist roles to expand predictive-maintenance and failure-analysis capabilities, above-average technology investment for a drilling contractor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Noble's stated purpose emphasizes safety, operational excellence, and sustainability in offshore drilling — clear but not distinctive among drilling peers [4]. Community Impact (1/2): Noble's sustainability framework spans 14 material topics across three pillars (Decarbonization, Health &amp; Safety, DEI) with a committed 20% carbon-intensity reduction target by 2030, though specific community-investment dollar figures are not disclosed [4]. Employee Retention (1/2): The AI-driven safety program's documented 30% increase in workforce engagement is a genuine positive signal, though broader Glassdoor sentiment (3.5/5 culture rating, concerns about upper-management integrity) remains only average [2]. Insider Buying (1/2): No significant net insider selling was identified; the company returned $300M via buybacks and ~$277M via dividends in 2024, reflecting shareholder-aligned capital allocation, though this is not personal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weighting). D/E of 42.66% scores 1.0 (well inside the 70% target, a genuinely conservative balance sheet for the sector) [5]. ROE of 4.96% scores 0.33 (weak, reflecting the still-recovering offshore day-rate cycle). Revenue growth of 6.46% (FY2025: $3.11B vs $2.92B) scores 0.88, though Q1 2026 revenue dipped 10% YoY to $786M due to rig reactivation/transition timing — a near-term air pocket within a longer growth trend [3][5]. Forward P/E of 22.08 scores 0.95. Profit margin of 6.97% scores 0.35, still compressed by the capital-intensive down-cycle hangover. Liquidity is ample: ~2.07M avg daily volume x $38.90 = ~$80.5M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Noble plays a mixed infinite/finite game. The company's fleet-wide AI safety investment and genuine 30% engagement gains show real trust-building, and the willingness to merge with rather than out-compete Maersk Drilling reflects an infinite competitive mindset. But the 2020 bankruptcy, a 139% dividend payout ratio, and a still-generic purpose statement temper the picture — this remains a cyclical driller balancing shareholder returns against balance-sheet discipline.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Noble's purpose centers on safe, efficient offshore energy production — a functional mission serving the global energy system but lacking the aspirational, future-state quality of a true Just Cause [4]. The company exists to drill wells profitably for oil companies, a necessary service but not a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AI-powered predictive safety program delivered a documented 43% reduction in incident reporting and a 30% increase in workforce engagement fleet-wide — concrete evidence that Noble is investing in employee safety and psychological engagement, not just financial metrics [2]. This measurable, company-wide result is a genuinely high-trust signal that offsets more mixed Glassdoor sentiment on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Noble's 2022 merger with Maersk Drilling reflects a willingness to combine with rather than destroy a worthy rival, and management frames competitive positioning around fleet quality and backlog differentiation rather than 'crushing' Transocean or Valaris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Noble transformed itself through 2020-2021 bankruptcy restructuring and two major mergers (Maersk Drilling 2022, Diamond Offshore 2024), materially changing its scale and fleet composition. However, the core business model — providing rigs under contract — remains unchanged since founding, so this is evolution rather than a full existential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initiation of a $2.00/share dividend at a payout ratio near 139% prioritizes near-term shareholder returns over balance-sheet conservatism, and the 2020 bankruptcy followed by re-leveraging reflects a pattern of finite-game capital allocation rather than sustained long-term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Noble Corporation offers offshore drilling exposure through the industry's most consolidated fleet, built via the 2022 Maersk Drilling merger and 2024 Diamond Offshore acquisition, with a $7.5B backlog (as of April 2026) providing multi-year revenue visibility [1][3]. Q1 2026 net income rose 12% YoY to $121M even as revenue dipped on rig-transition timing, and full-year 2025 revenue grew 6.46% to $3.11B [1][3]. A conservative D/E of 42.66% and a fully-implemented, fleet-wide AI safety platform delivering a documented 43% reduction in incidents and 30% engagement gain both stand out as differentiated evidence versus offshore-driller peers [2]. The 5.1% dividend yield adds income while the earnings recovery plays out.</w:t>
      </w:r>
    </w:p>
    <w:p>
      <w:pPr>
        <w:spacing w:after="120"/>
      </w:pPr>
      <w:r>
        <w:rPr>
          <w:rFonts w:ascii="Calibri" w:hAnsi="Calibri"/>
          <w:b w:val="0"/>
          <w:color w:val="3A4A28"/>
          <w:sz w:val="20"/>
        </w:rPr>
        <w:t>The bear case centers on cyclicality and payout sustainability. Q1 2026 revenue fell 10% YoY to $786M on rig reactivation and transition timing, and ROE of just 4.96% and profit margin of 6.97% show the offshore day-rate recovery remains incomplete [3][5]. The 139% dividend payout ratio is not covered by current earnings and depends on continued EBITDA recovery or reduced capex. Offshore drilling remains tied to oil prices and E&amp;P capital budgets, and the 2020 bankruptcy is a reminder this is a boom-bust industry; ESG pressure on financing and compliance costs adds further execution risk to the 20% carbon-intensity reduction target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$7.5B backlog (as of April 2026) with continued bookings providing near-term earnings visibility as reactivated rigs (e.g., Noble Deliverer) return to full utilization [3]</w:t>
      </w:r>
    </w:p>
    <w:p>
      <w:pPr>
        <w:spacing w:before="40" w:after="40"/>
        <w:ind w:left="283"/>
      </w:pPr>
      <w:r>
        <w:rPr>
          <w:rFonts w:ascii="Calibri" w:hAnsi="Calibri"/>
          <w:b/>
          <w:color w:val="4A6B25"/>
          <w:sz w:val="20"/>
        </w:rPr>
        <w:t xml:space="preserve">2. </w:t>
      </w:r>
      <w:r>
        <w:rPr>
          <w:rFonts w:ascii="Calibri" w:hAnsi="Calibri"/>
          <w:b w:val="0"/>
          <w:color w:val="3A4A28"/>
          <w:sz w:val="20"/>
        </w:rPr>
        <w:t>Tightening offshore rig supply industry-wide, giving Noble pricing power on contract renewals across its 36-rig fleet [1]</w:t>
      </w:r>
    </w:p>
    <w:p>
      <w:pPr>
        <w:spacing w:before="40" w:after="40"/>
        <w:ind w:left="283"/>
      </w:pPr>
      <w:r>
        <w:rPr>
          <w:rFonts w:ascii="Calibri" w:hAnsi="Calibri"/>
          <w:b/>
          <w:color w:val="4A6B25"/>
          <w:sz w:val="20"/>
        </w:rPr>
        <w:t xml:space="preserve">3. </w:t>
      </w:r>
      <w:r>
        <w:rPr>
          <w:rFonts w:ascii="Calibri" w:hAnsi="Calibri"/>
          <w:b w:val="0"/>
          <w:color w:val="3A4A28"/>
          <w:sz w:val="20"/>
        </w:rPr>
        <w:t>Continued fleet-wide rollout of AI-powered predictive safety technology, with the documented 43% incident reduction and 30% engagement gain supporting both cost efficiency and Sinek-style trusting-teams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volatility and E&amp;P budget cuts could trigger contract deferrals and lower day rates, further compressing the already-thin 6.97% profit margin [5]</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 a payout ratio near 139% is not covered by current earnings; a cut would damage investor confidence given the stock's income-oriented shareholder base [5]</w:t>
      </w:r>
    </w:p>
    <w:p>
      <w:pPr>
        <w:spacing w:before="40" w:after="40"/>
        <w:ind w:left="283"/>
      </w:pPr>
      <w:r>
        <w:rPr>
          <w:rFonts w:ascii="Calibri" w:hAnsi="Calibri"/>
          <w:b/>
          <w:color w:val="4A6B25"/>
          <w:sz w:val="20"/>
        </w:rPr>
        <w:t xml:space="preserve">3. </w:t>
      </w:r>
      <w:r>
        <w:rPr>
          <w:rFonts w:ascii="Calibri" w:hAnsi="Calibri"/>
          <w:b w:val="0"/>
          <w:color w:val="3A4A28"/>
          <w:sz w:val="20"/>
        </w:rPr>
        <w:t>ESG and regulatory pressure on offshore drilling could constrain financing access and limit contract wins with ESG-focused operators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Offshore drilling is a physical-world, capital-intensive operation that AI structurally cannot displace — deepwater hydrocarbon extraction requires rigs, crews, and specialized engineering that no software can substitute [2]. AI is being deployed as a safety and efficiency tool (predictive incident forecasting, automated FMECA analysis) rather than a threat, and rising global energy and AI-datacenter electricity demand supports continued offshore exploration activity [1][3]. AI Opportunity (0/1): Noble does not generate revenue from AI products or services — the AI safety platform is an internal operational tool, not a monetized offering,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Noble Corporation plc Q1 2026 Results — $121M net income (+12% YoY), $786M revenue (-10% YoY), $7.5B backlog as of April 27, 2026 — Noble Corp IR, Offshore Technology, StockTitan</w:t>
      </w:r>
    </w:p>
    <w:p>
      <w:pPr>
        <w:spacing w:before="20" w:after="20"/>
        <w:ind w:left="170"/>
      </w:pPr>
      <w:r>
        <w:rPr>
          <w:rFonts w:ascii="Calibri" w:hAnsi="Calibri"/>
          <w:b/>
          <w:color w:val="4A6B25"/>
          <w:sz w:val="15"/>
        </w:rPr>
        <w:t xml:space="preserve">2. </w:t>
      </w:r>
      <w:r>
        <w:rPr>
          <w:rFonts w:ascii="Calibri" w:hAnsi="Calibri"/>
          <w:b w:val="0"/>
          <w:color w:val="3A4A28"/>
          <w:sz w:val="17"/>
        </w:rPr>
        <w:t>Noble Corporation AI-powered predictive safety technology — 43% incident reduction, 30% engagement increase — Offshore Magazine, Drilling Contractor, 2026</w:t>
      </w:r>
    </w:p>
    <w:p>
      <w:pPr>
        <w:spacing w:before="20" w:after="20"/>
        <w:ind w:left="170"/>
      </w:pPr>
      <w:r>
        <w:rPr>
          <w:rFonts w:ascii="Calibri" w:hAnsi="Calibri"/>
          <w:b/>
          <w:color w:val="4A6B25"/>
          <w:sz w:val="15"/>
        </w:rPr>
        <w:t xml:space="preserve">3. </w:t>
      </w:r>
      <w:r>
        <w:rPr>
          <w:rFonts w:ascii="Calibri" w:hAnsi="Calibri"/>
          <w:b w:val="0"/>
          <w:color w:val="3A4A28"/>
          <w:sz w:val="17"/>
        </w:rPr>
        <w:t>Noble Corporation FY2025 10-K and full-year results — $3.11B revenue (+6.46% YoY), Maersk/Diamond Offshore synergy realization</w:t>
      </w:r>
    </w:p>
    <w:p>
      <w:pPr>
        <w:spacing w:before="20" w:after="20"/>
        <w:ind w:left="170"/>
      </w:pPr>
      <w:r>
        <w:rPr>
          <w:rFonts w:ascii="Calibri" w:hAnsi="Calibri"/>
          <w:b/>
          <w:color w:val="4A6B25"/>
          <w:sz w:val="15"/>
        </w:rPr>
        <w:t xml:space="preserve">4. </w:t>
      </w:r>
      <w:r>
        <w:rPr>
          <w:rFonts w:ascii="Calibri" w:hAnsi="Calibri"/>
          <w:b w:val="0"/>
          <w:color w:val="3A4A28"/>
          <w:sz w:val="17"/>
        </w:rPr>
        <w:t>Noble Corporation stock statistics and dividend data — StockAnalysis.com, CNBC, Yahoo Finance,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