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NRIX</w:t>
      </w:r>
      <w:r>
        <w:rPr>
          <w:rFonts w:ascii="Calibri" w:hAnsi="Calibri"/>
          <w:b/>
          <w:color w:val="1A2010"/>
          <w:sz w:val="40"/>
        </w:rPr>
        <w:t xml:space="preserve">  Nurix Therapeutics, Inc.</w:t>
      </w:r>
    </w:p>
    <w:p>
      <w:pPr>
        <w:spacing w:after="120"/>
      </w:pPr>
      <w:r>
        <w:rPr>
          <w:rFonts w:ascii="Calibri" w:hAnsi="Calibri"/>
          <w:b/>
          <w:color w:val="6E8450"/>
          <w:sz w:val="18"/>
        </w:rPr>
        <w:t>GROWTH SLEEVE · 2026-08-05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Nurix Therapeutics is a clinical-stage biopharmaceutical company pioneering degrader-based medicine through targeted protein degradation. The company's proprietary DEL-AI Discovery Engine leverages machine learning across a library of over 5 billion unique DEL compounds to predict novel binders for disease-relevant protein targets and E3 ligase proteins. Lead candidate bexobrutideg (BTK degrader) is in a Phase 2 pivotal trial (DAYBreak CLL-201) for chronic lymphocytic leukemia. In July 2026, Nurix entered a global collaboration with Roche valued at up to $2.3 billion including a $700 million upfront payment. The company has 286 employees, an accumulated deficit of $1.1 billion, and is headquartered in San Francisco.</w:t>
      </w:r>
    </w:p>
    <w:p>
      <w:r>
        <w:rPr>
          <w:rFonts w:ascii="Calibri" w:hAnsi="Calibri"/>
          <w:b/>
          <w:color w:val="6E8450"/>
          <w:sz w:val="18"/>
        </w:rPr>
        <w:t>286 Employees · https://www.nurixtx.com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Nurix has successfully transitioned from a pure research-stage company to a clinical-stage biotech with a validated discovery platform over the past 5 years [1]. The development of bexobrutideg from discovery through Phase 2 pivotal trial enrollment, combined with the $2.3B Roche collaboration validating the platform, represents one significant achievement that opened new revenue potential. However, no product has yet reached market approval. AI Deployment (2/2): Nurix's DEL-AI Discovery Engine is a fully AI-integrated drug discovery platform — machine learning models trained on rigorously controlled screenings of over 5 billion unique DEL compounds predict novel binders for nearly any disease-relevant protein target [2]. The platform directly integrates sampling density from DEL compound libraries with primary protein sequence information to learn generalizable structure-activity relationships. The $2.3B Roche deal and advancing clinical pipeline represent specific, measurable results from this AI deployment. Market Share (1/2): Nurix is a leading player in the targeted protein degradation space but shares the field with competitors including Arvinas (ARV-471), Kymera Therapeutics, and C4 Therapeutics [3]. The Roche partnership validates Nurix's platform as differentiated, but the company is not yet a dominant category leader in an established market. Product Pipeline (2/2): Bexobrutideg is in a Phase 2 pivotal trial (DAYBreak CLL-201) with specific clinical readout timelines, and the Roche deal provides up to $2.3B in milestone payments with a defined $700M upfront [1][2]. Multiple additional pipeline programs in cancer and autoimmune diseases provide next-generation visibility. R&amp;D Intensity (1/1): R&amp;D spending of $84.1M in Q1 2026 alone — exceeding total annual revenue — places Nurix in the top tier of R&amp;D intensity for biotech companies of its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'Medicines to Outmatch Disease' is a specific and thoughtful purpose that connects Nurix's targeted protein degradation platform to a broader vision of overcoming diseases that were previously considered undruggable [2]. The mission is grounded in novel science — degrading rather than inhibiting disease-causing proteins — and differentiates from generic pharma mission statements. Leadership references the mission in strategic communications. However, the company is too young (~10 years) to have validated the purpose through multi-decade execution. Community Impact (1/2): Nurix was selected as a Cancer Grand Challenges awardee to address pediatric cancers using targeted protein degradation, joining an international team of oncology experts [3]. This represents a significant, distinctive scientific contribution with societal impact beyond commercial interests. Employee Retention (0/2): 286 employees in a competitive Bay Area biotech market. No specific retention, turnover, or tenure data available to evaluate organizational stability. Insider Buying (0/2): No evidence of meaningful net insider buying by CEO Arthur Sands or other executives in the last 12 months was identified in searches.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Forward PEG excluded as not applicable for a pre-revenue biotech with deep losses [4]. The sole positive contributor is the low D/E of 12% ($58.7M debt against $540.7M cash, with an additional $700M Roche upfront expected), reflecting conservative balance sheet management for a clinical-stage company. However, all other available metrics score at the floor: ROE is deeply negative (~-59%) from a net loss of $295.3M on ~$500M equity; revenue declined ~80% YoY in Q2 2026 ($9.0M vs. $44.1M) as Sanofi collaboration research terms expired [1]; and profit margin is deeply negative (-410%) as R&amp;D spending of $84.1M quarterly dramatically exceeds revenue. The 5-year revenue CAGR is estimated at ~15% from a low base, but this is misleading given the sharp current decline in collaboration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Nurix demonstrates genuine infinite game characteristics for a clinical-stage biotech — a purpose-driven mission to pioneer degrader-based medicine that addresses previously undruggable diseases, sustained heavy R&amp;D investment through years of operating losses, and a willingness to partner with Roche rather than pursue a go-it-alone strategy. The DEL-AI platform represents a long-term capability investment that transcends any single drug candidate. However, the company's 10-year history is too short to validate enduring commitment through major crisis, and the ultimate test of infinite game thinking — whether Nurix can sustain its mission through potential clinical failures — remains ahead.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'Medicines to Outmatch Disease' through targeted protein degradation is a genuine cause connecting Nurix's work to a vision of treating diseases that current medicine cannot — degrading disease-causing proteins rather than merely inhibiting them [2]. The 10+ year investment in building the DEL-AI platform and advancing multiple clinical programs through $1.1B in accumulated losses demonstrates the purpose shapes strategic decisions. The Cancer Grand Challenges participation in pediatric cancers extends the mission beyond commercial interests [3]. However, the company is young and the cause hasn't been tested through clinical failure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Nurix's 286-person team operates in a scientific culture led by CEO Arthur Sands (MD, PhD) with board continuity through recent governance transitions [2]. The leadership team emphasizes 'scientific innovation and operational efficiency,' and the retention of key scientific leadership through the company's evolution from research to clinical stage suggests organizational stability. The Bay Area biotech talent market is intensely competitive, making sustained team-building an implicit sign of cultural strength. However, no specific employee satisfaction, tenure, or voluntary turnover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Nurix openly acknowledges the competitive landscape in targeted protein degradation — Arvinas, Kymera Therapeutics, and C4 Therapeutics are pursuing similar biology — and uses competitive dynamics to sharpen its own platform differentiation through the DEL-AI engine [3]. The company frames its competitive advantage in terms of superior discovery capability rather than destroying rivals, and the Roche partnership was positioned as platform validation rather than competitive victory.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Nurix has evolved from a pure discovery-stage research company to a clinical-stage biotech with a validated AI platform, adapting its business model through collaboration-funded R&amp;D (Sanofi, Gilead) and now a major pharma partnership (Roche $2.3B) [1][2]. The willingness to partner bexobrutideg globally with Roche — sharing potential upside for capital and development capability — shows strategic flexibility over ego. However, the core business model (discover and develop protein degraders) has been consistent since founding, and no truly transformative pivot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Nurix has invested $84M quarterly in R&amp;D while generating only $9M in Q2 2026 revenue, accumulating $1.1B in losses in service of advancing the DEL-AI platform and bexobrutideg pipeline [1]. This sustained heavy investment through years of operating losses, funded by collaboration deals and equity offerings, represents genuine long-term capability building over short-term financial performance. The Roche partnership demonstrates disciplined capital allocation — securing $700M upfront to fund the pivotal trial rather than diluting shareholders. However, these decisions follow standard biotech operating norms rather than representing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$2.3B Roche collaboration (including $700M upfront) validates Nurix's DEL-AI drug discovery platform and lead asset bexobrutideg as a potentially best-in-class BTK degrader for CLL [2]. Pro-forma cash of approximately $1.14B (including the Roche upfront) provides runway to fund the Phase 2 pivotal DAYBreak CLL-201 trial and additional pipeline programs without near-term dilution. The Innovation score of 8 reflects the rare combination of AI-native drug discovery (5B+ DEL compound library with trained ML models), a clinical-stage pipeline advancing toward pivotal readouts, and platform validation by a top-5 global pharma partner [1][2]. The Cancer Grand Challenges award for pediatric cancers demonstrates scientific leadership beyond commercial programs [3].</w:t>
      </w:r>
    </w:p>
    <w:p>
      <w:pPr>
        <w:spacing w:after="120"/>
      </w:pPr>
      <w:r>
        <w:rPr>
          <w:rFonts w:ascii="Calibri" w:hAnsi="Calibri"/>
          <w:b w:val="0"/>
          <w:color w:val="3A4A28"/>
          <w:sz w:val="20"/>
        </w:rPr>
        <w:t>The bear case centers on clinical risk and financial fragility. Revenue collapsed 80% in Q2 2026 ($9.0M vs. $44.1M prior year) as Sanofi collaboration research terms expired, and the company reported a net loss of $89.5M on an accumulated deficit of $1.1B [1]. Bexobrutideg faces intense competition from established covalent BTK inhibitors (ibrutinib, zanubrutinib) and next-generation degraders from Arvinas and Kymera — clinical superiority must be definitively demonstrated in the pivotal trial to justify a premium label. The $84M quarterly R&amp;D burn rate ($336M annually) means even with $1.14B pro-forma cash, runway is approximately 3 years before additional capital is needed. Phase 2 clinical failure or unexpected toxicity would eliminate the primary thesis and likely trigger 50%+ stock decline given the pre-revenue stage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2 pivotal DAYBreak CLL-201 trial data readout for bexobrutideg establishing best-in-class BTK degrader efficacy and safety profile would validate the $2.3B Roche deal economics [1][2]</w:t>
      </w:r>
    </w:p>
    <w:p>
      <w:pPr>
        <w:spacing w:before="40" w:after="40"/>
        <w:ind w:left="283"/>
      </w:pPr>
      <w:r>
        <w:rPr>
          <w:rFonts w:ascii="Calibri" w:hAnsi="Calibri"/>
          <w:b/>
          <w:color w:val="4A6B25"/>
          <w:sz w:val="20"/>
        </w:rPr>
        <w:t xml:space="preserve">2. </w:t>
      </w:r>
      <w:r>
        <w:rPr>
          <w:rFonts w:ascii="Calibri" w:hAnsi="Calibri"/>
          <w:b w:val="0"/>
          <w:color w:val="3A4A28"/>
          <w:sz w:val="20"/>
        </w:rPr>
        <w:t>$700M Roche upfront payment plus up to $1.6B in additional milestones provides non-dilutive capital and top-pharma validation of the DEL-AI discovery platform approach</w:t>
      </w:r>
    </w:p>
    <w:p>
      <w:pPr>
        <w:spacing w:before="40" w:after="40"/>
        <w:ind w:left="283"/>
      </w:pPr>
      <w:r>
        <w:rPr>
          <w:rFonts w:ascii="Calibri" w:hAnsi="Calibri"/>
          <w:b/>
          <w:color w:val="4A6B25"/>
          <w:sz w:val="20"/>
        </w:rPr>
        <w:t xml:space="preserve">3. </w:t>
      </w:r>
      <w:r>
        <w:rPr>
          <w:rFonts w:ascii="Calibri" w:hAnsi="Calibri"/>
          <w:b w:val="0"/>
          <w:color w:val="3A4A28"/>
          <w:sz w:val="20"/>
        </w:rPr>
        <w:t>Cancer Grand Challenges award for pediatric cancers using targeted protein degradation expands platform application to high-unmet-need oncology indications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Bexobrutideg Phase 2 pivotal trial failure or unexpected adverse events would eliminate the primary investment thesis — pre-revenue biotech with $1.1B accumulated deficit has no fallback revenue stream [1]</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Arvinas, Kymera, and C4 Therapeutics in targeted protein degradation could limit market positioning even if bexobrutideg succeeds clinically, compressing peak revenue estimates [3]</w:t>
      </w:r>
    </w:p>
    <w:p>
      <w:pPr>
        <w:spacing w:before="40" w:after="40"/>
        <w:ind w:left="283"/>
      </w:pPr>
      <w:r>
        <w:rPr>
          <w:rFonts w:ascii="Calibri" w:hAnsi="Calibri"/>
          <w:b/>
          <w:color w:val="4A6B25"/>
          <w:sz w:val="20"/>
        </w:rPr>
        <w:t xml:space="preserve">3. </w:t>
      </w:r>
      <w:r>
        <w:rPr>
          <w:rFonts w:ascii="Calibri" w:hAnsi="Calibri"/>
          <w:b w:val="0"/>
          <w:color w:val="3A4A28"/>
          <w:sz w:val="20"/>
        </w:rPr>
        <w:t>$84M quarterly R&amp;D burn rate with ~$1.14B pro-forma cash provides approximately 3 years of runway, creating medium-term dilution risk if pipeline timelines extend or additional programs require funding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deeply protected from AI disruption by structural barriers: FDA regulatory requirements mandate physical clinical trials, manufacturing involves complex biological processes, and the path from discovery to market approval spans 8-15 years with enormous capital requirements [3]. AI cannot substitute for the clinical development, regulatory approval, and manufacturing infrastructure required to bring drugs to market. Nurix's specific moat — expertise in E3 ligase biology, proprietary DEL compound libraries, and clinical-stage assets — represents accumulated know-how that AI alone cannot replicate. However, AI could help competitors accelerate their own protein degradation programs, intensifying competitive pressure on Nurix's pipeline timeline. AI Opportunity (1/1): Nurix's DEL-AI Discovery Engine is central to its business model and competitive advantage — the platform uses ML models trained on 5B+ DEL compounds to predict novel protein binders, directly enabling the pipeline that secured the $2.3B Roche partnership [2]. AI is not supplemental to Nurix's business; it is foundational to the discovery engine that drives all pipeline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Nurix Therapeutics Q1 and Q2 2026 Financial Results and Corporate Updates, StockTitan and Company IR, 2026</w:t>
      </w:r>
    </w:p>
    <w:p>
      <w:pPr>
        <w:spacing w:before="20" w:after="20"/>
        <w:ind w:left="170"/>
      </w:pPr>
      <w:r>
        <w:rPr>
          <w:rFonts w:ascii="Calibri" w:hAnsi="Calibri"/>
          <w:b/>
          <w:color w:val="4A6B25"/>
          <w:sz w:val="15"/>
        </w:rPr>
        <w:t xml:space="preserve">2. </w:t>
      </w:r>
      <w:r>
        <w:rPr>
          <w:rFonts w:ascii="Calibri" w:hAnsi="Calibri"/>
          <w:b w:val="0"/>
          <w:color w:val="3A4A28"/>
          <w:sz w:val="17"/>
        </w:rPr>
        <w:t>Nurix DEL-AI Discovery Engine and Roche Global Collaboration — $2.3B Deal Including $700M Upfront, July 2026</w:t>
      </w:r>
    </w:p>
    <w:p>
      <w:pPr>
        <w:spacing w:before="20" w:after="20"/>
        <w:ind w:left="170"/>
      </w:pPr>
      <w:r>
        <w:rPr>
          <w:rFonts w:ascii="Calibri" w:hAnsi="Calibri"/>
          <w:b/>
          <w:color w:val="4A6B25"/>
          <w:sz w:val="15"/>
        </w:rPr>
        <w:t xml:space="preserve">3. </w:t>
      </w:r>
      <w:r>
        <w:rPr>
          <w:rFonts w:ascii="Calibri" w:hAnsi="Calibri"/>
          <w:b w:val="0"/>
          <w:color w:val="3A4A28"/>
          <w:sz w:val="17"/>
        </w:rPr>
        <w:t>Nurix Cancer Grand Challenges Award for Pediatric Cancers and SWOT Analysis,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NRIX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