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OHI</w:t>
      </w:r>
      <w:r>
        <w:rPr>
          <w:rFonts w:ascii="Calibri" w:hAnsi="Calibri"/>
          <w:b/>
          <w:color w:val="1A2010"/>
          <w:sz w:val="40"/>
        </w:rPr>
        <w:t xml:space="preserve">  Omega Healthcare Investors, Inc.</w:t>
      </w:r>
    </w:p>
    <w:p>
      <w:pPr>
        <w:spacing w:after="120"/>
      </w:pPr>
      <w:r>
        <w:rPr>
          <w:rFonts w:ascii="Calibri" w:hAnsi="Calibri"/>
          <w:b/>
          <w:color w:val="6E8450"/>
          <w:sz w:val="18"/>
        </w:rPr>
        <w:t>DIVIDEND SLEEVE · 2026-07-20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Omega Healthcare Investors is a Real Estate Investment Trust providing financing and capital to the long-term healthcare industry in the United States and United Kingdom, with a focus on skilled nursing and assisted living facilities. As of Q1 2026, Omega's portfolio includes over 1,000 operating facilities operated by approximately 90 different operators across 42 states, the District of Columbia, and the UK/Jersey.</w:t>
      </w:r>
    </w:p>
    <w:p>
      <w:r>
        <w:rPr>
          <w:rFonts w:ascii="Calibri" w:hAnsi="Calibri"/>
          <w:b/>
          <w:color w:val="6E8450"/>
          <w:sz w:val="18"/>
        </w:rPr>
        <w:t>69 Employees · https://www.omegahealthcare.com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Omega has meaningfully diversified its portfolio beyond U.S. skilled nursing — UK/Jersey operations represent a significant portion of facilities, and the company deployed approximately $1.1B of capital in 2025, directing roughly two-thirds into senior housing and UK assets, representing a strategic pivot from its traditional SNF-only model [1]. Q1 2026 revenue growth of 16.6% YoY demonstrates successful capital recycling [2]. AI Deployment (1/2): Omega's strategic investment in MedaSync, an AI-driven reimbursement optimization platform for skilled nursing facilities that reduces revenue leakage by up to 15% in pilot programs, demonstrates proactive AI adoption at the operator level [3]. Market Share (1/2): Omega is one of the largest healthcare REITs in the U.S. with over 1,000 facilities across approximately 90 operators, though it competes with Sabra Health Care, CareTrust, and National Health Investors for operator relationships and acquisition pipeline [1][2]. Pipeline (1/2): The RIDEA (REIT Investment Diversification and Empowerment Act) strategy gives Omega direct exposure to senior housing operations rather than pure triple-net leases, expanding the addressable opportunity set and growth profile [1]. R&amp;D Intensity (0/1): Not applicable for a healthcare REIT — capital deployment and operator relationship management replace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Omega's stated purpose — to be 'a source of capital to the healthcare industry' by identifying 'long-term investments in quality healthcare properties with outstanding operators' — is clear and identifies who the company serves, but is functional rather than inspirational and could describe any healthcare REIT [4]. CEO Taylor Pickett emphasizes sustainability as part of Omega's strategic framework. Community Impact (1/2): Omega sponsors Administrators in Training (AIT) programs at select facilities to develop the next generation of skilled nursing leaders, with a focus on enhancing representation of underrepresented groups [5]. The ESG program includes sustainability capital expenditure incentives for operators and a four-pillar sustainability framework covering Managing Our Footprint, Supporting Our People, Investing in Our Community, and Protecting Our Stakeholders [5]. Employee Retention (0/2): With only 69 full-time employees, Omega operates as a lean investment management team. No specific retention metrics or voluntary turnover data are publicly available. Insider Buying (1/2): CEO C. Taylor Pickett's 24+ year tenure demonstrates deep alignment with the company's long-term direction. Recent leadership transitions including Matthew Gourmand as President and Vikas Gupta as CIO signal planned, orderly succession rather than disruption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reached $322.9M, up 16.6% YoY from $277M, driven by new investments completed throughout 2025-2026, annual rent escalators, and active portfolio management [2]. Net income grew to $151.0M ($0.47/share vs $0.33 prior year), and AFFO of $260M ($0.82/share vs $0.75 prior year) demonstrates strong earnings growth [2]. Full-year 2026 AFFO guidance was narrowed and raised to $3.19-$3.25/share (midpoint $3.22, up $0.02) [2]. D/E of 85.6% is above the 70% target but manageable for a REIT with $4.3B debt [6]. ROE of 12.4% trails the 15% target, compressed by REIT capital structure. Profit margin of 49.6% is exceptionally strong for any sector. Forward P/E of 23.1x is slightly above the 20x target. The dividend profile is mixed: 33 consecutive years of payments demonstrates extraordinary reliability, but the $2.68/share annual rate has been flat since 2020, yielding zero consecutive years of growth and near-zero 5yr dividend growth CAGR [6]. GAAP payout ratio of 138% is typical for REITs where FFO/AFFO coverage is the relevant metric (AFFO payout ~83%). Liquidity adequate at ~$95M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Omega Healthcare demonstrates meaningful infinite game characteristics through CEO Pickett's 24-year tenure and consistent commitment to being the premier capital source for long-term healthcare facilities. The company navigated COVID — the worst crisis in skilled nursing history — while maintaining dividend payments and working through operator bankruptcies with discipline. The diversification into UK operations, senior housing, and RIDEA structures shows strategic evolution. However, the flat dividend since 2020 and reliance on acquisitive growth over organic innovation reflect a pragmatic rather than visionary approach to long-term value creation.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Omega's purpose — providing capital to support quality long-term healthcare for aging populations — connects the company's work to a genuine societal need that transcends quarterly earnings. CEO Pickett's 24-year tenure demonstrates sustained commitment through multiple healthcare cycles, including COVID and the Genesis Health Care bankruptcy [1][2]. The expansion into UK operations reflects a belief that the healthcare capital mission extends beyond U.S. borders. However, the cause is more functional than transformative — Omega is a financing vehicle rather than a healthcare innovator.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Omega operates with a lean 69-person team under stable leadership. Recent transitions — elevating Matthew Gourmand to President and Vikas Gupta to CIO — represent orderly succession planning rather than disruptive changes [3]. CEO Pickett's 24-year tenure provides leadership continuity that few REITs can match. However, with such a small employee base, evidence to evaluate broader cultural health is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acknowledges the competitive landscape in earnings calls but does not explicitly reference competitors as sources of learning or improvement. The Q1 2026 results focused on Omega's own capital deployment strategy and operator relationships rather than competitive positioning vis-a-vis Sabra, CareTrust, or National Health Investors [2]. The competitive language is about executing Omega's strategy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Omega has shown incremental strategic evolution — expanding from U.S.-only skilled nursing into UK care homes, moving into senior housing, and adopting the RIDEA operating structure that provides direct operational exposure rather than pure triple-net leases [1]. The MedaSync AI investment represents early-stage technological adaptation. These are evolutionary extensions of the core model rather than transformative reinventions — Omega remains fundamentally a healthcare facility financing vehicle.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Omega demonstrated courage in navigating the Genesis Health Care bankruptcy — its largest operator — by maintaining operations and working through the restructuring rather than panic-selling assets [1]. The company maintained its $2.68/share annual dividend through COVID-era occupancy declines when many REITs cut dividends, and Q1 2026 AFFO of $0.82/share ($3.28 annualized) now comfortably covers the payout [2]. However, six consecutive years without a dividend increase also reflects conservative pragmatism over shareholder reward.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Omega Healthcare Investors offers a compelling 5.83% dividend yield backed by 33 consecutive years of payments and an accelerating earnings recovery. Q1 2026 revenue climbed 16.6% YoY to $322.9M with net income jumping 39% to $151M, and AFFO of $0.82/share (+9.3% YoY) led management to narrow and raise full-year 2026 AFFO guidance to $3.19-$3.25/share [2]. The $1.1B capital deployment in 2025 — with two-thirds directed toward senior housing and UK assets — is now producing visible revenue acceleration. The aging demographic tailwind (65+ population growing ~3% annually) provides secular demand support, and Omega's 1,000+ facility portfolio across approximately 90 operators creates scale advantages in deal sourcing and underwriting. At a forward P/E of 23.1x with 0.58 beta, the stock offers defensive income characteristics with improving growth visibility.</w:t>
      </w:r>
    </w:p>
    <w:p>
      <w:pPr>
        <w:spacing w:after="120"/>
      </w:pPr>
      <w:r>
        <w:rPr>
          <w:rFonts w:ascii="Calibri" w:hAnsi="Calibri"/>
          <w:b w:val="0"/>
          <w:color w:val="3A4A28"/>
          <w:sz w:val="20"/>
        </w:rPr>
        <w:t>The bear case centers on dividend stagnation and operator credit risk. Omega's dividend has been frozen at $2.68/share since 2020 — six consecutive years without a raise — while inflation has eroded the real yield by approximately 20% [6]. The GAAP payout ratio of 138% is unsustainable on a reported earnings basis, though AFFO coverage of approximately 1.2x provides adequate cushion. The Genesis Health Care bankruptcy exposed the operator concentration risk inherent in triple-net healthcare REITs, and persistent skilled nursing staffing shortages (vacancy rates above 20% nationally) continue to pressure operator profitability and rent coverage ratios. The RIDEA strategy introduces operating risk that pure triple-net REITs avoid. D/E of 85.6% is manageable but leaves limited room for accretive leveraged acquisitions without equity issuance. Interest rate sensitivity as a high-yield REIT means OHI competes with fixed income for capital allocation, and sustained higher rates compress the yield spread that attracts income investors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Resumption of dividend growth — Q1 2026 AFFO of $0.82/share annualizes to $3.28, comfortably above the $2.68 dividend, providing coverage for the first potential increase since 2019 that could catalyze meaningful re-rating among income investors [2]</w:t>
      </w:r>
    </w:p>
    <w:p>
      <w:pPr>
        <w:spacing w:before="40" w:after="40"/>
        <w:ind w:left="283"/>
      </w:pPr>
      <w:r>
        <w:rPr>
          <w:rFonts w:ascii="Calibri" w:hAnsi="Calibri"/>
          <w:b/>
          <w:color w:val="4A6B25"/>
          <w:sz w:val="20"/>
        </w:rPr>
        <w:t xml:space="preserve">2. </w:t>
      </w:r>
      <w:r>
        <w:rPr>
          <w:rFonts w:ascii="Calibri" w:hAnsi="Calibri"/>
          <w:b w:val="0"/>
          <w:color w:val="3A4A28"/>
          <w:sz w:val="20"/>
        </w:rPr>
        <w:t>RIDEA strategy execution and senior housing exposure generating higher risk-adjusted returns than traditional triple-net leases, expanding the growth profile and addressable market beyond skilled nursing [1]</w:t>
      </w:r>
    </w:p>
    <w:p>
      <w:pPr>
        <w:spacing w:before="40" w:after="40"/>
        <w:ind w:left="283"/>
      </w:pPr>
      <w:r>
        <w:rPr>
          <w:rFonts w:ascii="Calibri" w:hAnsi="Calibri"/>
          <w:b/>
          <w:color w:val="4A6B25"/>
          <w:sz w:val="20"/>
        </w:rPr>
        <w:t xml:space="preserve">3. </w:t>
      </w:r>
      <w:r>
        <w:rPr>
          <w:rFonts w:ascii="Calibri" w:hAnsi="Calibri"/>
          <w:b w:val="0"/>
          <w:color w:val="3A4A28"/>
          <w:sz w:val="20"/>
        </w:rPr>
        <w:t>Aging population demographic wave — the 65+ cohort is the fastest-growing segment of the U.S. population at ~3% annually, driving secular demand for skilled nursing beds and post-acute care facilities that directly benefits occupancy and rent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Operator credit deterioration — Omega's triple-net lease model depends on operator profitability, and persistent skilled nursing staffing shortages (vacancy rates above 20% nationally) pressure operator margins and rent coverage, creating potential for lease restructurings or defaults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as a high-yield REIT with D/E of 85.6% and $4.3B debt, sustained higher-for-longer rates increase borrowing costs while compressing the yield spread that attracts income investors, potentially driving capital to fixed-income alternatives [6]</w:t>
      </w:r>
    </w:p>
    <w:p>
      <w:pPr>
        <w:spacing w:before="40" w:after="40"/>
        <w:ind w:left="283"/>
      </w:pPr>
      <w:r>
        <w:rPr>
          <w:rFonts w:ascii="Calibri" w:hAnsi="Calibri"/>
          <w:b/>
          <w:color w:val="4A6B25"/>
          <w:sz w:val="20"/>
        </w:rPr>
        <w:t xml:space="preserve">3. </w:t>
      </w:r>
      <w:r>
        <w:rPr>
          <w:rFonts w:ascii="Calibri" w:hAnsi="Calibri"/>
          <w:b w:val="0"/>
          <w:color w:val="3A4A28"/>
          <w:sz w:val="20"/>
        </w:rPr>
        <w:t>Dividend stagnation risk — six consecutive years without a dividend increase has frustrated income growth investors, and if AFFO growth disappoints or operator challenges emerge, Omega may extend the freeze while peers resume growth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Omega's core business — owning and financing physical skilled nursing and assisted living facilities — is structurally immune to AI disruption. AI cannot replace the physical real estate, licensed beds, or hands-on patient care that skilled nursing facilities provide [1]. The aging U.S. population (65+ demographic growing at 3% annually) creates secular demand tailwinds that AI amplifies rather than threatens — AI-driven healthcare diagnostics and remote monitoring increase the pipeline of patients who need post-acute physical care. Regulatory requirements for licensed facility beds and staffing ratios create additional moats that AI cannot circumvent. AI Opportunity (0/1): Omega's MedaSync investment enables AI-driven reimbursement optimization for its operators, but this is an operator efficiency tool rather than a direct revenue stream for OHI [3]. Omega does not generate quantifiable AI-related revenue as a 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Omega Healthcare Investors FY2025 Results and Capital Deployment — $1.1B invested (2/3 in senior housing and UK), portfolio diversification strategy, Genesis restructuring, February 2026</w:t>
      </w:r>
    </w:p>
    <w:p>
      <w:pPr>
        <w:spacing w:before="20" w:after="20"/>
        <w:ind w:left="170"/>
      </w:pPr>
      <w:r>
        <w:rPr>
          <w:rFonts w:ascii="Calibri" w:hAnsi="Calibri"/>
          <w:b/>
          <w:color w:val="4A6B25"/>
          <w:sz w:val="15"/>
        </w:rPr>
        <w:t xml:space="preserve">2. </w:t>
      </w:r>
      <w:r>
        <w:rPr>
          <w:rFonts w:ascii="Calibri" w:hAnsi="Calibri"/>
          <w:b w:val="0"/>
          <w:color w:val="3A4A28"/>
          <w:sz w:val="17"/>
        </w:rPr>
        <w:t>Omega Healthcare Q1 2026 Earnings Release — revenue $322.9M (+16.6% YoY), NI $151M ($0.47/share), AFFO $260M ($0.82/share), guidance raised to $3.19-$3.25/share, April 2026</w:t>
      </w:r>
    </w:p>
    <w:p>
      <w:pPr>
        <w:spacing w:before="20" w:after="20"/>
        <w:ind w:left="170"/>
      </w:pPr>
      <w:r>
        <w:rPr>
          <w:rFonts w:ascii="Calibri" w:hAnsi="Calibri"/>
          <w:b/>
          <w:color w:val="4A6B25"/>
          <w:sz w:val="15"/>
        </w:rPr>
        <w:t xml:space="preserve">3. </w:t>
      </w:r>
      <w:r>
        <w:rPr>
          <w:rFonts w:ascii="Calibri" w:hAnsi="Calibri"/>
          <w:b w:val="0"/>
          <w:color w:val="3A4A28"/>
          <w:sz w:val="17"/>
        </w:rPr>
        <w:t>Omega Healthcare Investors Leadership and Strategy — CEO Pickett 24-year tenure, Gourmand/Gupta appointments, MedaSync AI investment, 2025-2026</w:t>
      </w:r>
    </w:p>
    <w:p>
      <w:pPr>
        <w:spacing w:before="20" w:after="20"/>
        <w:ind w:left="170"/>
      </w:pPr>
      <w:r>
        <w:rPr>
          <w:rFonts w:ascii="Calibri" w:hAnsi="Calibri"/>
          <w:b/>
          <w:color w:val="4A6B25"/>
          <w:sz w:val="15"/>
        </w:rPr>
        <w:t xml:space="preserve">4. </w:t>
      </w:r>
      <w:r>
        <w:rPr>
          <w:rFonts w:ascii="Calibri" w:hAnsi="Calibri"/>
          <w:b w:val="0"/>
          <w:color w:val="3A4A28"/>
          <w:sz w:val="17"/>
        </w:rPr>
        <w:t>Omega Healthcare Corporate Website — mission statement, sustainability framework, investor relations,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Omega Healthcare ESG/Sustainability Report — AIT programs, sustainability capital incentives, four-pillar framework, 2024-2025</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OHI key statistics (D/E 85.55%, ROE 12.4%, profit margin 49.59%, Forward P/E 23.06, dividend yield 5.83%, stock price ~$46),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