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OMDA</w:t>
      </w:r>
      <w:r>
        <w:rPr>
          <w:rFonts w:ascii="Calibri" w:hAnsi="Calibri"/>
          <w:b/>
          <w:color w:val="1A2010"/>
          <w:sz w:val="40"/>
        </w:rPr>
        <w:t xml:space="preserve">  Omda AS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2026-07-29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 Information Services · OSL · Norway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Omda AS is the leading Nordic provider of specialized software solutions for healthcare and emergency services, serving 500+ customers across 27 countries. Products include laboratory information management, connected healthcare imaging, maternity care, oncology medication management (Cytodose), health analytics, blood management (ProSang), and emergency response coordination platforms (CoordCom/AMIS). Formerly CSAM Health Group AS, rebranded in 2023, headquartered in Oslo, Norway.</w:t>
      </w:r>
    </w:p>
    <w:p>
      <w:r>
        <w:rPr>
          <w:rFonts w:ascii="Calibri" w:hAnsi="Calibri"/>
          <w:b/>
          <w:color w:val="6E8450"/>
          <w:sz w:val="18"/>
        </w:rPr>
        <w:t>255 Employees · https://omda.com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Omda has executed a successful acquisition-led transformation, completing three acquisitions in Q1 2025 alone (Predicare, Dermicus, Aweria) while delivering 14% revenue growth and a record 30% EBITDA margin in Q3 2025 [1]. The rebrand from CSAM Health Group in 2023 signaled a new growth trajectory. Revenue grew to NOK 496M in FY2025 with EBITDA more than doubling, demonstrating successful integration execution. AI Deployment (1/2): Omda collaborates with Valencia Emergency Medical Service and the University of Valencia to implement an AI-assisted dispatch prioritization system — an early-stage but concrete AI deployment in life-critical emergency services [2]. The company's 'Buy Integrate and Build' M&amp;A strategy includes AI initiatives contributing to 7% organic growth [1]. Market Share (2/2): Omda is the acknowledged market leader in Nordic specialized healthcare software, serving 500+ customers in 27 countries with dominant positions in blood management, oncology medication dosing, maternity care, and emergency dispatch [2]. Pipeline (1/2): 2026 guidance of NOK 500-525M organic revenue with 28-32% EBITDA margin plus 10-20% acquisition growth shows clear expansion plans, with MDR certification reinforcing regulatory pipeline readiness [1]. R&amp;D Intensity (0/1): Growth is primarily acquisition-driven rather than organic R&amp;D-led; no evidence of above-average R&amp;D spending relative to healthcare IT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Omda's vision — 'Smarter Ways to a safe and healthy world' — is specific, thoughtful, and genuinely connects software to patient safety and healthcare outcomes [2]. The focus on empowering healthcare professionals in 'life's most critical moments' shapes product decisions around safety-critical design and MDR compliance. However, the company is too young in its current form (rebranded 2023) to demonstrate decade-validated execution. Community Impact (0/2): No evidence of significant charitable programs, foundation, or community investment beyond the inherent social good of healthcare software products [2]. Employee Retention (1/2): Small team of ~255 employees with CEO Sverre Flatby and CFO Einar Bonnevie both serving 15+ years, demonstrating exceptional leadership stability and mission alignment [2]. However, broader employee retention data is unavailable. Insider Buying (2/2): CEO Flatby and CFO Bonnevie own a combined 19.5% of the company through Equilibrium AS, representing exceptional insider alignment — far exceeding typical executive ownership levels and demonstrating genuine conviction in the long-term story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~10,404 shares x NOK 37.90 = NOK 394,312 (~$37,000 USD), dramatically below the $1,000,000 minimum liquidity requirement [5]. Infrastructure score is automatically set to 0 regardless of underlying financial metrics. Volume has improved slightly from 6,954 to 10,404 average daily shares since April 2026, but remains microscopic. For reference, underlying metrics show a mixed picture: D/E of 2,933% reflects aggressive acquisition financing, ROE of 39.2% is strong, profit margin of 1.33% is thin on a GAAP basis despite 24% EBITDA margins (Q3 2025 hit 30%), forward P/E of 10.7 is attractively low, and 2026 EBITDA margin guidance of 28-32% indicates improving profitability [1][5]. Revenue growth of 14% YoY and 7% organic growth demonstrate operational momentum. But the stock is simply too illiquid for institutional or meaningful retail trading.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Omda under Flatby's 15-year leadership demonstrates genuine infinite game characteristics — a clear healthcare mission, exceptional insider alignment (19.5% combined CEO/CFO ownership), and strategic patience in building specialized healthcare software across 27 countries. The AI-assisted emergency dispatch collaboration with Valencia EMS shows forward-thinking investment. However, heavy reliance on acquisition-led growth and the company's relatively short history in its current form (rebranded 2023) limit evidence for validated long-term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Omda's vision — 'Smarter Ways to a safe and healthy world' — connects software development to patient safety and healthcare outcomes in a genuine, non-generic way [2]. The focus on life-critical moments (emergency dispatch, oncology dosing, blood management) gives the cause real weight. The mission shapes product decisions: MDR certification, safety-critical design, and GDPR compliance are embedded in product architecture. However, the company is too young in its current form (rebranded 2023) to demonstrate multi-decade validation.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Flatby and CFO Bonnevie have worked together for 15+ years, providing exceptional leadership continuity for a 255-person organization [2]. The management team includes dedicated roles for technology, strategy, and emergency services, suggesting functional empowerment. However, limited public data on broader employee sentiment, turnover, or cultural practices beyond leadership 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Omda's acquisition strategy (Predicare, Dermicus, Aweria) reflects competitive awareness — each acquisition fills a specific capability gap rather than pursuing market-share consolidation [1]. The company's specialization in niche healthcare domains rather than competing head-on with Epic or Oracle Health shows strategic self-awareness about where its strengths lie and where larger rivals are superior.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rebrand from CSAM Health Group to Omda in 2023 signaled strategic evolution, and the company has expanded from Nordic-only to 27 countries through targeted acquisitions [1][2]. The pivot from a holding-company structure to an integrated platform approach represents meaningful business model evolution. However, these are incremental adaptations rather than transformative reinventions.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Flatby and Bonnevie demonstrate conviction through significant personal financial commitment — 19.5% ownership represents substantial wealth concentration in a micro-cap company [2]. The aggressive acquisition-led growth while simultaneously expanding EBITDA margins from ~12% to 24% in one year shows operational courage. However, the heavy debt load (D/E 2,933%) raises questions about whether growth is being financed prudently.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Omda is a compelling niche healthcare software compounder with dominant Nordic market positions in specialized, safety-critical applications — blood management, oncology dosing, emergency dispatch, and maternity care — serving 500+ customers across 27 countries [1]. FY2025 delivered the best year ever: revenue of NOK 496M (14% growth), EBITDA of NOK 117M (24% margin, more than doubled YoY), with Q3 2025 hitting a record 30% EBITDA margin [1]. 2026 guidance of NOK 500-525M organic revenue with 28-32% EBITDA margin plus 10-20% acquisition growth signals continued momentum. At forward P/E of 10.7x, the stock is deeply undervalued relative to comparable healthcare IT companies trading at 20-30x [5]. CEO and CFO ownership of 19.5% provides exceptional insider alignment. Inspire Impact Score of 53 (ALIGNED) with zero negative attributions and 16 positive ESG attributes reflects strong faith alignment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critical constraint is liquidity: average daily volume of ~10,404 shares (NOK 394K daily turnover, ~$37K USD) makes OMDA essentially untradeable for any portfolio above micro-cap scale, triggering the IOWN Infrastructure floor of 0 [5]. The D/E of 2,933% reflects an extremely leveraged balance sheet from serial acquisitions, creating significant financial risk if healthcare IT spending slows or integration falters. GAAP profit margin of 1.33% (despite 24% EBITDA margin) highlights the gap between adjusted and reported profitability, driven by amortization of acquired intangibles and interest expense [5]. The acquisition-heavy model depends on continued capital market access and target availability in an increasingly competitive healthcare IT M&amp;A landscape. Geographic concentration in the Nordics, while a strength for market position, limits the total addressable market. Oslo Stock Exchange listing restricts institutional investor access and analyst coverage compared to major exchanges.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EBITDA margin expansion toward 28-32% guided for 2026, with Q3 2025 already achieving 30%, validating the platform integration approach to acquired healthcare software assets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AI-assisted emergency dispatch system with Valencia EMS represents a scalable new product category in a growing emergency services market, potentially accelerating organic growth beyond 7%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acquisition pipeline targeting 10-20% inorganic growth in 2026, with proven integration track record demonstrated by Predicare, Dermicus, and Aweria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Critical illiquidity — 10,404 shares average daily volume (~$37K USD daily turnover) makes position building and exit virtually impossible for meaningful portfolio allocations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leverage at 2,933% D/E from serial acquisitions creates financial fragility if EBITDA margins contract or acquisition integration stumbles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GAAP vs. adjusted profitability gap — 1.33% net margin vs. 24% EBITDA margin raises earnings quality concerns driven by acquisition-related amortization and interest expense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Omda's core healthcare software products operate in a heavily regulated, safety-critical domain where AI cannot easily substitute purpose-built clinical systems [1]. Blood management (ProSang), oncology medication dosing (Cytodose), and emergency dispatch coordination (CoordCom/AMIS) require deep regulatory compliance (MDR certification, GDPR), institutional trust, and integration with hospital workflows that create significant switching costs [2]. However, AI tools from larger healthcare IT vendors (Epic, Cerner/Oracle Health) could encroach on imaging, analytics, and workflow automation — areas where Omda's specialized but small-scale solutions face competitive pressure from AI-enhanced enterprise platforms. AI Opportunity (1/1): Omda is actively deploying AI in emergency dispatch prioritization through its Valencia EMS collaboration, representing early but concrete AI revenue generation in a mission-critical use case that could scale to other emergency services markets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Omda AS FY2025 Annual Results — NOK 496M revenue (14% growth), NOK 117M EBITDA (24% margin), Q3 record 30% EBITDA, 2026 guidance NOK 500-525M,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Omda AS Corporate Website — Vision, leadership team (CEO Flatby, CFO Bonnevie 19.5% ownership), Valencia EMS AI collaboration, 500+ customers in 27 countries,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Omda AS Sustainability and Governance — Norwegian Corporate Governance Code, GDPR compliance, MDR certification,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PitchBook/MarketScreener — Omda company profile, 2026 earnings forecasts, financial performance,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Investing.com, StockAnalysis (OSL:OMDA) — Stock price NOK 37.90, market cap NOK 791M, avg volume 10,404, forward P/E 10.67,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