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ONB</w:t>
      </w:r>
      <w:r>
        <w:rPr>
          <w:rFonts w:ascii="Calibri" w:hAnsi="Calibri"/>
          <w:b/>
          <w:color w:val="1A2010"/>
          <w:sz w:val="40"/>
        </w:rPr>
        <w:t xml:space="preserve">  Old National Bancorp</w:t>
      </w:r>
    </w:p>
    <w:p>
      <w:pPr>
        <w:spacing w:after="120"/>
      </w:pPr>
      <w:r>
        <w:rPr>
          <w:rFonts w:ascii="Calibri" w:hAnsi="Calibri"/>
          <w:b/>
          <w:color w:val="6E8450"/>
          <w:sz w:val="18"/>
        </w:rPr>
        <w:t>DIVIDEND SLEEVE · 2026-09-03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Old National Bancorp is a top-25 U.S. banking organization headquartered in Evansville, Indiana, providing commercial banking, wealth management, consumer banking, and treasury services across the Midwest and Southeast. Founded in 1834, the bank has grown through strategic acquisitions — including CapStar Financial Group (2022) and Bremer Financial Corporation (2024) — into a $56B+ asset institution with total loans of $50.8B and deposits of $56.1B. Q2 2026 delivered record results with revenue of $732.6M (+13% YoY) and net income of $249.4M (+105.5% YoY), driven by strong organic commercial loan origination and diversified fee income.</w:t>
      </w:r>
    </w:p>
    <w:p>
      <w:r>
        <w:rPr>
          <w:rFonts w:ascii="Calibri" w:hAnsi="Calibri"/>
          <w:b/>
          <w:color w:val="6E8450"/>
          <w:sz w:val="18"/>
        </w:rPr>
        <w:t>5,600 Employees · https://www.oldnational.com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ONB executed a transformative M&amp;A strategy over the past five years, acquiring CapStar Financial Group (2022) and Bremer Financial Corporation (2024) to more than double its asset base from ~$24B to $56B, catapulting from a mid-tier Midwest bank to a top-25 U.S. banking franchise [1]. The integration required replatforming operations and expanding into new metropolitan markets (Minneapolis-St. Paul, Milwaukee). AI Deployment (1/2): ONB partnered with Infosys in 2024 to accelerate operational and technological transformation, deploying automation across back-office functions, but no specific AI-powered products are shipping to customers and no quantified cost savings have been publicly disclosed [3]. Management has published thought leadership on agentic AI and fintech convergence but remains in the exploration phase. Market Share (1/2): ONB is now the largest bank headquartered in Indiana and a growing presence in Minneapolis-St. Paul and Milwaukee metro markets following the Bremer acquisition — a meaningful regional player but not a category leader in any specific banking product category [1]. Product Pipeline (0/2): No next-generation banking products with specific launch dates or revenue visibility have been announced; digital banking enhancements are incremental. R&amp;D Intensity (0/1): Banks do not typically disclose R&amp;D spending separately; ONB's technology investment via the Infosys partnership is notable but does not place it above peer average for the banking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Old National's culture is anchored in ethical banking — the company has been recognized by the Ethisphere Institute as one of the World's Most Ethical Companies for 10+ consecutive years, one of only a handful of U.S. banks ever to achieve this distinction [2]. CEO Jim Ryan has consistently emphasized that 'high ethical standards are the foundation of our culture,' and this commitment has shaped hiring, governance, and community engagement decisions. The mission is specific and thoughtful — clearly differentiated from generic shareholder-value language — but has not been tested through a transformative crisis in a way that elevates it to a validated Just Cause standard. Community Impact (1/2): Old National publishes annual ESG reports detailing community engagement, and the bank's Community Reinvestment Act performance supports lending and investment in underserved communities across its Midwest footprint [4]. However, no specific foundation dollar amounts or distinctive charitable programs with measurable outcomes were identified. Employee Retention (0/2): No publicly available voluntary turnover rates, average tenure data, or specific retention metrics were found. Insider Buying (0/2): Net insider selling in 2026 — Chief Legal Officer Nicholas Chulos sold 20,000 shares ($533K) and Wealth Management CEO Chady Alahmar sold 11,771 shares ($311K) in July 2026, both for estate planning purposes [5]. No evidence of meaningful net insider buying by senior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ONB demonstrates strong financial fundamentals with a conservative D/E of 21.11%, well below the 70% target, reflecting prudent capital management for a regional bank [6]. Profit margin of 27.7% exceeds the 20% target, driven by disciplined loan pricing and fee income diversification. Revenue growth YoY of 13% surpasses the 10% target, supported by organic commercial loan growth and the full integration of the Bremer franchise [1]. Forward P/E of 11.0x is well below the 20x target, indicating attractive valuation for a record-profitability bank. ROE of 10.18% is the primary drag, falling short of the 15% target — typical for well-capitalized regional banks with conservative leverage. Dividend metrics are mixed: payout ratio of 33% is below the 40% target and consecutive years paid (~20) is strong, but the 5-year dividend growth CAGR of only 2.4% is well below the 6% target, and consecutive years of growth (~5) fall short of the 10-year target. Liquidity floor easily cleared at ~$88.9M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Old National demonstrates genuine commitment to ethical banking and long-term community presence — the Ethisphere recognition for 10+ consecutive years and 192-year operating history signal an institution built to endure rather than optimize quarter-to-quarter. However, the company's growth strategy has been primarily acquisition-driven (CapStar 2022, Bremer 2024) rather than cause-driven, and there is limited evidence of the kind of transformative strategic flexibility or courageous counter-consensus decisions that define infinite game players. CEO Jim Ryan has effectively managed integration of major acquisitions, but the competitive posture remains conventional for a Midwest regional bank.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Old National's commitment to ethical banking is genuine, distinctive, and partially lived — 10+ consecutive years of Ethisphere recognition as one of the World's Most Ethical Companies demonstrates sustained commitment to a specific standard that goes beyond generic corporate values [2]. CEO Jim Ryan consistently frames ethics as the company's competitive foundation. The 192-year operating history (founded 1834) demonstrates institutional resilience and multi-generational purpose. However, the mission has not been tested through a transformative crisis or strategic pivot where the cause clearly drove a costly decision against short-term interests.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ONB's Ethisphere recognition and CEO emphasis on ethical culture suggest an above-average organizational environment, and the bank's executive leadership has been stable through the CapStar and Bremer integrations [2]. The announcement of an 'Enhanced Executive Leadership Structure' in Q2 2026 suggests deliberate organizational development [1]. However, no specific employee empowerment data, voluntary turnover metrics, or cultural trust indicators were found. The rapid pace of acquisitions (two major integrations in three years) could create organizational stress that undermines trust-building.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ONB management referencing competitors as worthy rivals whose strengths drive self-improvement. The competitive posture appears conventional — focused on growing market share in the Midwest through acquisitions and organic expansion rather than explicitly learning from competitors' distinctive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ONB has evolved significantly over five years — the CapStar and Bremer acquisitions transformed the bank from a ~$24B regional player to a top-25 U.S. bank with $56B in assets, entering new major metro markets (Minneapolis-St. Paul, Milwaukee) and expanding wealth management capabilities [1]. However, these were incremental extensions of the existing community banking model rather than transformative reinventions — the core business of relationship-based lending and deposit gathering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Bremer Financial acquisition in 2024 was a bold strategic bet that significantly increased ONB's scale and geographic footprint at a time when many regional banks were pulling back from M&amp;A due to integration risk and regulatory scrutiny post-SVB [1]. CEO Jim Ryan's willingness to pursue transformative deals despite execution risk demonstrates conviction in the long-term strategy. However, no evidence was found of ONB making costly decisions that sacrificed near-term earnings for principled or mission-aligned reasons — acquisition-driven growth can be opportunistic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Old National Bancorp at 11x forward earnings with a 2.98% dividend yield delivers record profitability — Q2 2026 revenue of $732.6M (+13% YoY) and net income of $249.4M (+105.5% YoY) demonstrate the Bremer integration is producing meaningful operating leverage [1]. Total loans reached $50.8B and deposits $56.1B, reflecting strong organic commercial growth alongside acquisition-driven scale. The conservative 33% payout ratio leaves ample room for dividend increases, and D/E of 21.11% signals balance sheet discipline. ROE of 10.18% is improving as integration synergies from Bremer and CapStar materialize, and the enhanced executive leadership structure positions the bank for continued operational gains. The Inspire Impact Score of 29 (ALIGNED) and 10+ years of Ethisphere recognition make ONB attractive for faith-based investors seeking regional banking exposure [2].</w:t>
      </w:r>
    </w:p>
    <w:p>
      <w:pPr>
        <w:spacing w:after="120"/>
      </w:pPr>
      <w:r>
        <w:rPr>
          <w:rFonts w:ascii="Calibri" w:hAnsi="Calibri"/>
          <w:b w:val="0"/>
          <w:color w:val="3A4A28"/>
          <w:sz w:val="20"/>
        </w:rPr>
        <w:t>The bear case centers on ONB's dependence on acquisition-driven growth and the execution risk inherent in integrating two major acquisitions within three years. ROE of 10.18% remains below the 15% industry benchmark for well-run banks, reflecting the dilutive impact of recent share issuance for M&amp;A and the cost of integrating overlapping operations [6]. Dividend growth has been anemic at only 2.4% CAGR over five years, well below inflation, suggesting limited commitment to growing payouts despite rising earnings. The Midwest geographic concentration creates credit risk tied to agricultural and manufacturing cycles, and a regional recession could stress the $50.8B loan book. Revenue growth of 13% YoY is heavily inflated by the Bremer acquisition — organic growth alone is likely mid-single-digits [1]. Innovation and technology adoption lag larger peers, with the Infosys partnership representing a catch-up play rather than a leadership position [3]. Net insider selling by senior executives in July 2026 despite record earnings raises questions about management conviction at current valuations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realization of Bremer Financial integration synergies through 2026-2027, expected to drive ROE improvement toward 12-13% as cost savings materialize and redundant operations are eliminated across overlapping Midwest markets [1]</w:t>
      </w:r>
    </w:p>
    <w:p>
      <w:pPr>
        <w:spacing w:before="40" w:after="40"/>
        <w:ind w:left="283"/>
      </w:pPr>
      <w:r>
        <w:rPr>
          <w:rFonts w:ascii="Calibri" w:hAnsi="Calibri"/>
          <w:b/>
          <w:color w:val="4A6B25"/>
          <w:sz w:val="20"/>
        </w:rPr>
        <w:t xml:space="preserve">2. </w:t>
      </w:r>
      <w:r>
        <w:rPr>
          <w:rFonts w:ascii="Calibri" w:hAnsi="Calibri"/>
          <w:b w:val="0"/>
          <w:color w:val="3A4A28"/>
          <w:sz w:val="20"/>
        </w:rPr>
        <w:t>Organic commercial loan growth in newly entered Minneapolis-St. Paul and Milwaukee metro markets, where ONB's relationship banking model can capture share from larger competitors distracted by national priorities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growth acceleration as integration costs subside and the 33% payout ratio leaves significant room for increases without straining capital ratios — analyst consensus price target of $27-$30 implies 6-17% upside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from absorbing two major acquisitions (CapStar, Bremer) in three years — cultural misalignment, system consolidation delays, or customer attrition could erode projected synergies and suppress ROE recovery [1]</w:t>
      </w:r>
    </w:p>
    <w:p>
      <w:pPr>
        <w:spacing w:before="40" w:after="40"/>
        <w:ind w:left="283"/>
      </w:pPr>
      <w:r>
        <w:rPr>
          <w:rFonts w:ascii="Calibri" w:hAnsi="Calibri"/>
          <w:b/>
          <w:color w:val="4A6B25"/>
          <w:sz w:val="20"/>
        </w:rPr>
        <w:t xml:space="preserve">2. </w:t>
      </w:r>
      <w:r>
        <w:rPr>
          <w:rFonts w:ascii="Calibri" w:hAnsi="Calibri"/>
          <w:b w:val="0"/>
          <w:color w:val="3A4A28"/>
          <w:sz w:val="20"/>
        </w:rPr>
        <w:t>Credit quality deterioration in the Midwest commercial loan portfolio if agricultural commodity prices decline or manufacturing activity slows, given ONB's $50.8B loan book concentrated in cyclically sensitive Midwest industries [1]</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as the Federal Reserve adjusts monetary policy — a rapid decline in rates could compress net interest margins (the majority of ONB's revenue), while prolonged high rates increase deposit competition from fintech and money market alternatives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Regional banking is structurally protected from AI disruption through multiple defensive layers — regulatory requirements (banking charters, FDIC insurance, Dodd-Frank compliance), high switching costs for depositors (direct deposit, auto-pay, linked accounts), and physical branch networks that serve relationship-based commercial and wealth clients [2]. ONB's core revenue streams — net interest income from commercial lending, treasury management, and wealth advisory — require human judgment, regulatory compliance, and trust-based relationships that AI cannot easily replicate. However, AI-driven neobanks and fintech platforms present incremental competitive pressure on commoditized consumer products (savings accounts, personal loans, payment processing), and AI-based credit decisioning could compress margins on standardized lending. Management has acknowledged AI introduces operational risk including automated decision-making errors and cyber vulnerabilities [3]. AI Opportunity (0/1): ONB does not generate quantifiable AI revenue. The Infosys partnership and internal AI exploration are focused on operational efficiency rather than revenue-generating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Old National Bancorp Q2 2026 Earnings Release — Record Revenue $732.6M (+13% YoY), Net Income $249.4M (+105.5%), EPS $0.65, Total Loans $50.8B, Deposits $56.1B, Enhanced Executive Leadership Structure, July 2026</w:t>
      </w:r>
    </w:p>
    <w:p>
      <w:pPr>
        <w:spacing w:before="20" w:after="20"/>
        <w:ind w:left="170"/>
      </w:pPr>
      <w:r>
        <w:rPr>
          <w:rFonts w:ascii="Calibri" w:hAnsi="Calibri"/>
          <w:b/>
          <w:color w:val="4A6B25"/>
          <w:sz w:val="15"/>
        </w:rPr>
        <w:t xml:space="preserve">2. </w:t>
      </w:r>
      <w:r>
        <w:rPr>
          <w:rFonts w:ascii="Calibri" w:hAnsi="Calibri"/>
          <w:b w:val="0"/>
          <w:color w:val="3A4A28"/>
          <w:sz w:val="17"/>
        </w:rPr>
        <w:t>Old National Bancorp Leadership and Culture — CEO Jim Ryan, Ethisphere World's Most Ethical Companies (10+ consecutive years), Corporate Ethics Foundation — OldNational.com, Ethisphere Institute, 2024-2026</w:t>
      </w:r>
    </w:p>
    <w:p>
      <w:pPr>
        <w:spacing w:before="20" w:after="20"/>
        <w:ind w:left="170"/>
      </w:pPr>
      <w:r>
        <w:rPr>
          <w:rFonts w:ascii="Calibri" w:hAnsi="Calibri"/>
          <w:b/>
          <w:color w:val="4A6B25"/>
          <w:sz w:val="15"/>
        </w:rPr>
        <w:t xml:space="preserve">3. </w:t>
      </w:r>
      <w:r>
        <w:rPr>
          <w:rFonts w:ascii="Calibri" w:hAnsi="Calibri"/>
          <w:b w:val="0"/>
          <w:color w:val="3A4A28"/>
          <w:sz w:val="17"/>
        </w:rPr>
        <w:t>Old National Bancorp AI and Technology Strategy — Infosys Operational Transformation Partnership, Agentic AI Thought Leadership — PRNewswire, OldNational.com, 2024-2026</w:t>
      </w:r>
    </w:p>
    <w:p>
      <w:pPr>
        <w:spacing w:before="20" w:after="20"/>
        <w:ind w:left="170"/>
      </w:pPr>
      <w:r>
        <w:rPr>
          <w:rFonts w:ascii="Calibri" w:hAnsi="Calibri"/>
          <w:b/>
          <w:color w:val="4A6B25"/>
          <w:sz w:val="15"/>
        </w:rPr>
        <w:t xml:space="preserve">4. </w:t>
      </w:r>
      <w:r>
        <w:rPr>
          <w:rFonts w:ascii="Calibri" w:hAnsi="Calibri"/>
          <w:b w:val="0"/>
          <w:color w:val="3A4A28"/>
          <w:sz w:val="17"/>
        </w:rPr>
        <w:t>Old National Bancorp 2023 ESG Report — Community Engagement, Governance, Sustainability, CRA Performance — GlobeNewsWire, April 2024</w:t>
      </w:r>
    </w:p>
    <w:p>
      <w:pPr>
        <w:spacing w:before="20" w:after="20"/>
        <w:ind w:left="170"/>
      </w:pPr>
      <w:r>
        <w:rPr>
          <w:rFonts w:ascii="Calibri" w:hAnsi="Calibri"/>
          <w:b/>
          <w:color w:val="4A6B25"/>
          <w:sz w:val="15"/>
        </w:rPr>
        <w:t xml:space="preserve">5. </w:t>
      </w:r>
      <w:r>
        <w:rPr>
          <w:rFonts w:ascii="Calibri" w:hAnsi="Calibri"/>
          <w:b w:val="0"/>
          <w:color w:val="3A4A28"/>
          <w:sz w:val="17"/>
        </w:rPr>
        <w:t>Old National Bancorp Insider Trading Activity — CLO N. Chulos sold 20,000 shares ($533K), WM CEO C. Alahmar sold 11,771 shares ($311K), July 2026 — StockTitan, TipRanks</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WallStreetZen — ONB Key Statistics: Forward P/E 11.0x, ROE 10.18%, Profit Margin 27.7%, D/E 21.11%, PEG 0.51, Stock Price $25.53, Dividend Yield 2.98%,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