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OPTU</w:t>
      </w:r>
      <w:r>
        <w:rPr>
          <w:rFonts w:ascii="Calibri" w:hAnsi="Calibri"/>
          <w:b/>
          <w:color w:val="1A2010"/>
          <w:sz w:val="40"/>
        </w:rPr>
        <w:t xml:space="preserve">  Optimum Communications, Inc.</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Optimum Communications (formerly Altice USA, rebranded November 2025) is one of the largest broadband communications providers in the United States, delivering broadband, video, mobile, and voice services to approximately 4.4 million residential and business customers across 21 states. Controlled by French billionaire Patrick Drahi through dual-class share structure. Operates the Lightpath fiber-based B2B infrastructure business. The stock has declined 65% over the past year from $2.79 to $0.96, reflecting a market cap of just $379M against $26B in debt.</w:t>
      </w:r>
    </w:p>
    <w:p>
      <w:r>
        <w:rPr>
          <w:rFonts w:ascii="Calibri" w:hAnsi="Calibri"/>
          <w:b/>
          <w:color w:val="6E8450"/>
          <w:sz w:val="18"/>
        </w:rPr>
        <w:t>9,500 Employees · https://www.optimum.com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TTM revenue of $8.38B declined 4.4% YoY, extending a multi-year structural revenue decline from $10.1B in FY2021 to $8.6B in FY2025 [1]. The rebrand from Altice USA to Optimum Communications in November 2025 is cosmetic rather than transformative. Fiber-to-the-home buildout and Optimum Mobile launch represent incremental evolution but have not reversed subscriber erosion against fiber overbuilders and fixed wireless competitors [2]. AI Deployment (0/2): No meaningful AI product innovation or deployment identified. The company references general 'AI-driven efficiency' internally but has not shipped consumer-facing AI features or quantified any AI-driven cost savings. Market Share (0/2): OPTU is actively losing broadband market share to fiber overbuilders (Verizon Fios, AT&amp;T Fiber) and fixed wireless competitors (T-Mobile, Starlink) across its 21-state footprint [2]. Legacy coax infrastructure is a competitive disadvantage against pure fiber deployments with superior speed and reliability. Product Pipeline (1/2): The Lightpath fiber B2B business and convergence-led pricing strategy provide some growth potential, but execution is severely constrained by the $26B debt burden and ongoing creditor disputes [1][2]. R&amp;D Intensity (0/1): Minimal R&amp;D investment; the company is a cable/broadband incumbent defending legacy infrastructure rather than innovating technologically.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around 'connecting communities' is generic boilerplate interchangeable with any telecom provider. Corporate identity is dominated by Patrick Drahi's financial engineering rather than any distinctive mission or culture [2]. Community Impact (0/2): Provides broadband service across 21 states but no specific corporate philanthropy, charitable foundations, or community investment programs were identified. Historically poor customer service reputation undermines any community impact narrative. Employee Retention (0/2): Glassdoor shows only 44% would recommend the company, 2.9/5 on culture and values, and 3.0/5 on career opportunities — well below average, reflecting organizational instability from leadership transitions and debt-driven cost-cutting [2]. Insider Buying (0/2): No notable insider buying. Patrick Drahi's controversial asset transfers — moving unrestricted assets outside creditors' reach in advance of restructuring discussions — demonstrate management prioritizing controlling shareholder interests over broader stakeholder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most metrics excluded due to negative equity and unprofitability. The company carries approximately $26B in total debt against negative stockholders' equity of approximately -$5B (D/E ratio of -5.35, meaningless and excluded from scoring) [3]. TTM net loss of -$4.88B produced -$10.52 EPS and a -58.23% profit margin, scoring 0 on profit margin [1]. Revenue growth YoY of -4.4% scores 0.52 (weight 1x), and the 5-year revenue CAGR of approximately -3.5% (from ~$10B in 2020 to $8.4B TTM) scores 0.10 (weight 2x) [1]. ROE, Forward P/E, and PEG are all excluded as meaningless given negative equity and losses. Only three Growth metrics are scoreable, yielding a weighted sum of 0.72 out of 4.0 maximum. Liquidity floor passes narrowly: 1.74M avg volume x $0.96 = ~$1.68M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Optimum Communications under Patrick Drahi's control is a textbook finite game player. The controlling shareholder's controversial asset transfers — moving unrestricted assets outside creditors' reach before restructuring discussions — prioritize Drahi's financial interests over institutional endurance. The company is playing to survive this quarter, not to build something lasting. The antitrust lawsuit against its own creditors reflects a combative, zero-sum posture antithetical to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is managed primarily for Patrick Drahi's financial returns through a dual-class share structure that gives him control despite minimal equity contribution [2]. The controversial asset transfers — disclosed in SEC filings ahead of creditor discussions — reveal a company whose strategic decisions serve the controlling shareholder's interests rather than advancing any broader purpose. 'Connecting communities' messaging is generic boilerplate that drives no observable strategic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sentiment is deeply poor — only 44% would recommend the company, with 2.9/5 on culture and values [2]. Multiple leadership transitions create organizational instability, and the heavy $26B debt burden drives cost-cutting pressure that undermines employee trust and investment in people. Reviews cite inconsistent leadership alignment and decision-making that favors established internal networks.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OPTU faces formidable competitors — Verizon Fios, AT&amp;T Fiber, Comcast, Charter, T-Mobile fixed wireless, and Starlink — but the company's posture is defensive survival rather than learning from rivals [2]. The competitive strategy appears focused on debt management and subscriber retention through pricing rather than genuine improvement inspired by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made incremental strategic shifts — launching fiber-to-the-home buildout, Optimum Mobile, and the Lightpath fiber B2B platform, plus rebranding from Altice USA to Optimum Communications [2]. These represent meaningful evolution from legacy coax-only cable. However, the moves are incremental adaptations to competitive pressure rather than a transformative reinvention driven by purpose, and execution is severely constrained by the $26B debt burden.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controversial asset transfers — moving unrestricted assets outside creditors' reach in advance of restructuring — represent financial self-preservation for the controlling shareholder, not courageous leadership [2]. Suing your own creditors in an antitrust action is aggressive but serves Drahi's interests, not a principled long-term stance. No evidence of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Optimum Communications is a deeply distressed broadband incumbent whose financial and operational deterioration has accelerated. TTM revenue of $8.38B declined 4.4% with a catastrophic net loss of -$4.88B (-$10.52 EPS) and -58.23% profit margin [1]. The stock has fallen to $0.96 — down 65% from its 52-week high of $2.79 and down over 97% from its 2021 peak — reflecting a market cap of just $379M against approximately $26B in total debt and negative stockholders' equity [1][3]. The company carries a Debt-to-EBITDA ratio of 8.55x with a current ratio of 0.32, indicating severe liquidity constraints. Lightpath fiber B2B and Optimum Mobile provide pockets of growth, but they are too small to offset the structural decline in legacy cable subscribers facing fiber overbuilders and fixed wireless competition.</w:t>
      </w:r>
    </w:p>
    <w:p>
      <w:pPr>
        <w:spacing w:after="120"/>
      </w:pPr>
      <w:r>
        <w:rPr>
          <w:rFonts w:ascii="Calibri" w:hAnsi="Calibri"/>
          <w:b w:val="0"/>
          <w:color w:val="3A4A28"/>
          <w:sz w:val="20"/>
        </w:rPr>
        <w:t>The bull case requires a successful debt restructuring that preserves equity value, stabilization of broadband subscriber trends, and Lightpath/mobile growth acceleration. AI-driven data consumption growth is a secular tailwind for broadband infrastructure. However, Patrick Drahi's controversial asset transfers have escalated the creditor conflict to active litigation, raising restructuring risk that could wipe out the equity entirely [2]. Revenue has declined every year since FY2021 (from $10.1B to $8.4B TTM), with losses deepening dramatically from -$103M in FY2024 to -$4.88B TTM [1]. Against fiber overbuilders with superior unit economics (Verizon Fios, AT&amp;T Fiber) and fixed wireless competitors with zero last-mile capex (T-Mobile, Starlink), OPTU's structural disadvantages are deepening. Analyst consensus is Sell with a $1.06 price target (+10% upside), reflecting minimal conviction in equity recovery [3]. This is a highly leveraged equity stub on a telecom business in secular decline —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debt restructuring or refinancing that reduces the $26B burden and removes near-term balance-sheet risk without wiping out equity holders — any resolution preserving equity value could drive significant upside from $0.96 [2]</w:t>
      </w:r>
    </w:p>
    <w:p>
      <w:pPr>
        <w:spacing w:before="40" w:after="40"/>
        <w:ind w:left="283"/>
      </w:pPr>
      <w:r>
        <w:rPr>
          <w:rFonts w:ascii="Calibri" w:hAnsi="Calibri"/>
          <w:b/>
          <w:color w:val="4A6B25"/>
          <w:sz w:val="20"/>
        </w:rPr>
        <w:t xml:space="preserve">2. </w:t>
      </w:r>
      <w:r>
        <w:rPr>
          <w:rFonts w:ascii="Calibri" w:hAnsi="Calibri"/>
          <w:b w:val="0"/>
          <w:color w:val="3A4A28"/>
          <w:sz w:val="20"/>
        </w:rPr>
        <w:t>Lightpath fiber B2B revenue acceleration and Optimum Mobile subscriber growth offsetting legacy cable broadband subscriber losses and stabilizing the overall revenue trajectory [1]</w:t>
      </w:r>
    </w:p>
    <w:p>
      <w:pPr>
        <w:spacing w:before="40" w:after="40"/>
        <w:ind w:left="283"/>
      </w:pPr>
      <w:r>
        <w:rPr>
          <w:rFonts w:ascii="Calibri" w:hAnsi="Calibri"/>
          <w:b/>
          <w:color w:val="4A6B25"/>
          <w:sz w:val="20"/>
        </w:rPr>
        <w:t xml:space="preserve">3. </w:t>
      </w:r>
      <w:r>
        <w:rPr>
          <w:rFonts w:ascii="Calibri" w:hAnsi="Calibri"/>
          <w:b w:val="0"/>
          <w:color w:val="3A4A28"/>
          <w:sz w:val="20"/>
        </w:rPr>
        <w:t>AI and data-center demand driving increased broadband consumption — a secular tailwind for infrastructure providers that could improve ARPU and slow subscriber churn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wipeout risk from debt restructuring — with negative stockholders' equity, $26B debt, Debt/EBITDA of 8.55x, and current ratio of 0.32, a bankruptcy filing or adverse creditor settlement could eliminate all equity value [1][3]</w:t>
      </w:r>
    </w:p>
    <w:p>
      <w:pPr>
        <w:spacing w:before="40" w:after="40"/>
        <w:ind w:left="283"/>
      </w:pPr>
      <w:r>
        <w:rPr>
          <w:rFonts w:ascii="Calibri" w:hAnsi="Calibri"/>
          <w:b/>
          <w:color w:val="4A6B25"/>
          <w:sz w:val="20"/>
        </w:rPr>
        <w:t xml:space="preserve">2. </w:t>
      </w:r>
      <w:r>
        <w:rPr>
          <w:rFonts w:ascii="Calibri" w:hAnsi="Calibri"/>
          <w:b w:val="0"/>
          <w:color w:val="3A4A28"/>
          <w:sz w:val="20"/>
        </w:rPr>
        <w:t>Escalating creditor conflict — controversial asset transfers and antitrust lawsuit against major creditors (Apollo, Ares, BlackRock) have created unprecedented legal complexity that could delay resolution and increase costs [2]</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decline accelerating — fiber overbuilders and fixed wireless entrants continue eroding broadband share while the $26B debt burden prevents OPTU from investing in competitive fiber upgrades at the pace needed to stem subscriber losses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Broadband infrastructure is a physical-world business that AI cannot substitute — installed last-mile cable and fiber networks deliver internet connectivity that no AI tool can replace [2]. AI actually increases broadband demand as data-intensive workloads (cloud computing, AI model training and inference, streaming, IoT) drive bandwidth consumption growth, providing a structural tailwind for the infrastructure layer. However, OPTU's specific competitive position — legacy coax network facing overbuilding from superior fiber alternatives — is not protected by its AI resilience; the threats are competitive, not AI-driven. AI-enabled network optimization by competitors (Verizon, AT&amp;T) could marginally accelerate OPTU's competitive disadvantage. AI Opportunity (0/1): No AI-related products, services, or revenue identified. AI tools could reduce call-center and field-ops costs, but no quantified deployment or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OPTU Financials: TTM Revenue $8.38B (-4.4%), TTM Net Loss -$4.88B, EPS -$10.52, Profit Margin -58.23%, FY2025 Revenue $8.59B (-4.1%),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Optimum Communications / Bloomberg — Patrick Drahi control, creditor disputes, controversial asset transfers, Glassdoor 44% recommend (2.9/5 culture), rebranding from Altice USA, Lightpath B2B,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OPTU Key Statistics: Stock Price $0.96, Market Cap $379M, D/E -5.35 (negative equity), Debt/EBITDA 8.55x, Current Ratio 0.32, Avg Volume 1.74M, Analyst Consensus Sell, Price Target $1.06,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