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OR</w:t>
      </w:r>
      <w:r>
        <w:rPr>
          <w:rFonts w:ascii="Calibri" w:hAnsi="Calibri"/>
          <w:b/>
          <w:color w:val="1A2010"/>
          <w:sz w:val="40"/>
        </w:rPr>
        <w:t xml:space="preserve">  OR Royalties Inc.</w:t>
      </w:r>
    </w:p>
    <w:p>
      <w:pPr>
        <w:spacing w:after="120"/>
      </w:pPr>
      <w:r>
        <w:rPr>
          <w:rFonts w:ascii="Calibri" w:hAnsi="Calibri"/>
          <w:b/>
          <w:color w:val="6E8450"/>
          <w:sz w:val="18"/>
        </w:rPr>
        <w:t>GROWTH SLEEVE · 2026-07-27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Gold · NYSE · Canada</w:t>
      </w:r>
    </w:p>
    <w:p>
      <w:pPr>
        <w:spacing w:after="80"/>
      </w:pPr>
      <w:r>
        <w:rPr>
          <w:rFonts w:ascii="Calibri" w:hAnsi="Calibri"/>
          <w:b w:val="0"/>
          <w:color w:val="3A4A28"/>
          <w:sz w:val="20"/>
        </w:rPr>
        <w:t>OR Royalties Inc. (formerly Osisko Gold Royalties, rebranded May 2025) acquires and manages precious metal royalties, streams, and other interests in mining operations primarily in Canada and internationally. Its primary asset is a 3-5% net smelter return royalty on the Canadian Malartic complex. The company holds 185+ royalties and streams, with pending acquisitions from Gold Fields Limited and Sailfish Royalty Corp. Founded in 2014, headquartered in Montreal, Canada.</w:t>
      </w:r>
    </w:p>
    <w:p>
      <w:r>
        <w:rPr>
          <w:rFonts w:ascii="Calibri" w:hAnsi="Calibri"/>
          <w:b/>
          <w:color w:val="6E8450"/>
          <w:sz w:val="18"/>
        </w:rPr>
        <w:t>https://orroyalties.com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OR Royalties has built a premier precious metals royalty/streaming portfolio since its 2014 founding, growing revenue from $124M in 2020 to $277M in FY2025 (+59% YoY), with Q1 2026 surging to $103M (+87% YoY) on gold prices at $4,873/oz [1]. The May 2025 rebrand from Osisko Gold Royalties to OR Royalties signals strategic evolution beyond gold, and the pending acquisitions from Gold Fields and Sailfish Royalty Corp in early Q2 2026 expand the portfolio further [1]. AI Deployment (0/2): No AI products or quantified AI-driven operational improvements. Royalty companies have minimal operational infrastructure requiring AI deployment. Market Share (1/2): OR Royalties ranks among the top-tier precious metals royalty/streaming companies alongside Franco-Nevada, Wheaton Precious Metals, and Royal Gold, with the Canadian Malartic royalty as a world-class foundational asset and diversification across 185+ royalties/streams [1][2]. Pipeline (1/2): Five-year outlook projects 110,000-125,000 GEOs by 2029 (up ~40% from current 80-88k guidance range), providing clear organic growth visibility as development-stage royalties enter production [1]. Gold Fields and Sailfish acquisitions add near-term catalysts [1]. R&amp;D Intensity (1/1): For a royalty company, innovation manifests as deal-making capability and geological expertise; OR's team has structured innovative financial instruments including carbon credit streaming transactions and maintains strong technical evaluation capabilities [2][3].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OR Royalties' purpose centers on 'Growing Responsibly' — providing capital to mining companies while maintaining strong ESG standards [3]. The mission connects the company's financial role to responsible resource development but does not articulate a transformative vision beyond the obvious. Community Impact (1/2): OR Royalties committed to the UN Global Compact, publishes annual 'Growing Responsibly' sustainability reports (fifth edition in 2024), invested in carbon credit streaming for decarbonization and biodiversity, and launched an employee donation matching program [3]. Achieved 'ESG Industry Top-Rated' from Sustainalytics, 'AA' from MSCI, and 'Prime' from ISS — industry-leading third-party ESG validation [3]. Employee Retention (1/2): OR Royalties earned Great Place to Work certification in 2024 and achieved board gender diversity targets [3]. CEO Jason Attew (appointed January 2024) brings 30 years of mining experience, and multiple executives including CFO Ruel and VP Farmer continued through the CEO transition, demonstrating organizational stability [2]. Insider Buying (1/2): The company repurchased $12.9M in shares in March 2026, signaling management confidence in valuation [4]. No meaningful personal insider purchases by individual executives were identified, though institutional holdings increased 2.88% quarter-over-quarter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OR Royalties has a pristine financial profile befitting the royalty/streaming model. Q1 2026 revenue of $103M (+87% YoY) with 97% cash margin ($99.5M) demonstrates extraordinary operating leverage when gold is at $4,873/oz [1]. FY2025 revenue of $277M grew 59.4% YoY with estimated ~70% net profit margin reflecting the zero-operating-cost structure of royalties [1]. D/E of approximately 8% with minimal debt creates a fortress balance sheet [4]. ROE is estimated at approximately 10%, constrained by the large equity base from capitalized royalty interests [4]. Forward P/E of 20.95x is reasonable given 87% revenue growth and the defensive quality of gold royalties [5]. The 5yr revenue CAGR of 17.5% well exceeds the 10% target. Dividend yield of 0.9% with ~20% cash payout ratio and 7.7% 5yr dividend growth CAGR [6]. Liquidity cleared: ~1.3M avg volume x $29.20 = $38.0M [5]. Mechanical calculation (Growth, PEG excluded): D/E 1.0(1x) + ROE 0.67(2x) + RevYoY 1.0(1x) + Rev5yr 1.0(2x) + FwdPE 0.98(1x) + Margin 1.0(1x) = 7.31/8 x 10 = 9.</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OR Royalties demonstrates solid infinite game characteristics through its patient, multi-decade royalty portfolio construction and responsible growth philosophy. The business model — owning perpetual royalties on long-life mining assets — is inherently long-term oriented. The 'Growing Responsibly' framework and industry-leading ESG credentials signal genuine purpose. However, the 2023-2024 leadership transition from founder Roosen through Sandeep Singh to CEO Jason Attew introduced disruption, and the company's purpose beyond profit accumulation lacks the inspirational depth that defines true infinite game leaders.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OR Royalties' 'Growing Responsibly' framework connects the company's capital-provision role to broader stakeholder value — providing non-dilutive financing to mining companies while maintaining industry-leading ESG standards validated by Sustainalytics, MSCI AA, and ISS Prime ratings [3]. Founder Sean Roosen built the company with a vision of creating a Canadian champion in precious metals royalties, and the 2024 implementation of a climate change strategy and Great Place to Work certification demonstrate the cause is genuine. However, the cause has been tested by a turbulent leadership succession (Roosen departure 2023, Sandeep Singh's 'unexpected departure,' then Attew appointment January 2024), and it remains unproven under new leadership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OR Royalties earned Great Place to Work certification in 2024, achieved board gender diversity targets, and maintained organizational stability through two CEO transitions in 18 months [2][3]. Multiple executives (CFO Ruel, VP Farmer) continued in their roles, and the lean structure of a royalty company (typically fewer than 50 employees) requires high trust and competence from each team member. However, the leadership instability of 2023-2024 (founder departure, an interim CEO's 'unexpected departure,' then a third CEO) introduces concern about the Circle of Safety at the top.</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OR Royalties competes against Franco-Nevada, Wheaton Precious Metals, and Royal Gold in the royalty/streaming space. Management commentary focuses on portfolio quality, GEO growth targets, and competitive deal execution rather than acknowledging what can be learned from larger peers' strengths [2]. The rebrand to 'OR Royalties' and aggressive five-year growth targets suggest a focus on competing for market position rather than self-improvement through rivalry.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original transformation from Osisko Mining (a gold producer) to a pure royalty/streaming company was a fundamental business model shift that required abandoning operational mining in favor of financial instruments [2]. The May 2025 rebrand from Osisko Gold Royalties to OR Royalties and investment in carbon credit streaming signal continued willingness to evolve beyond the gold-only label. However, the core model — collecting royalties from mining operations — has not changed since inception, and the evolution has been incremental rather than transformative.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OR Royalties maintained disciplined capital allocation during periods of gold price euphoria, rejecting overpriced deals when competitors were aggressively acquiring [1]. The $12.9M share buyback in March 2026 demonstrates conviction at current prices [4]. The company's commitment to carbon credit streaming and climate strategy in the mining sector required going against industry norms. However, the CEO succession turbulence and absence of a transformative strategic bet under new leadership limit the evidence of courageous decision-making under Attew's tenure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OR Royalties offers one of the cleanest financial profiles in the mining sector — estimated 70% profit margins, 97% cash margins on Q1 2026 revenue, minimal debt (D/E ~8%), and extraordinary operating leverage to gold prices [1]. Q1 2026 revenue of $103M (+87% YoY) with 97% cash margins demonstrates the royalty model's scalability when gold is at $4,873/oz, implying a $400M+ annual revenue run rate [1]. The five-year plan targeting 110,000-125,000 GEOs by 2029 provides organic production growth independent of commodity prices, and pending Gold Fields and Sailfish acquisitions add near-term catalysts [1]. The fortress balance sheet and low ~20% cash payout ratio give management flexibility for accretive acquisitions during mining industry distress [4][6]. At 20.95x forward P/E with 87% revenue growth and industry-leading ESG credentials (Sustainalytics Top-Rated, MSCI AA), OR represents a premium gold exposure vehicle with downside protection from the zero operating cost structure [3][5].</w:t>
      </w:r>
    </w:p>
    <w:p>
      <w:pPr>
        <w:spacing w:after="120"/>
      </w:pPr>
      <w:r>
        <w:rPr>
          <w:rFonts w:ascii="Calibri" w:hAnsi="Calibri"/>
          <w:b w:val="0"/>
          <w:color w:val="3A4A28"/>
          <w:sz w:val="20"/>
        </w:rPr>
        <w:t>The bear case centers on gold price dependency and leadership uncertainty. OR Royalties' Q1 2026 revenue surge is primarily driven by gold at $4,873/oz — a historical extreme that may not persist [1]. A gold price correction to $3,000/oz would compress revenue by ~40% and earnings by a larger percentage. The trailing P/E of 38.3x reflects current gold euphoria and could contract sharply in a risk-on environment [5]. The CEO succession has been turbulent — founder Roosen departed 2023, successor Sandeep Singh's 'unexpected departure' was flagged by analysts as negative, and Jason Attew (appointed January 2024) has yet to execute a transformative deal [2]. The stock's 28% decline from its April 2026 level of ~$40 to $29.20 despite record revenue suggests the market is pricing in gold price normalization risk. Dividend yield of 0.9% provides minimal income support, and ROE of approximately 10% underperforms the 15% target due to the large capitalized equity base from royalty acquisitions [4][5].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Q1 2026 revenue of $103M with 97% cash margins implies a $400M+ annual run rate at current gold prices, representing a step-change in financial scale from FY2025's $277M [1]</w:t>
      </w:r>
    </w:p>
    <w:p>
      <w:pPr>
        <w:spacing w:before="40" w:after="40"/>
        <w:ind w:left="283"/>
      </w:pPr>
      <w:r>
        <w:rPr>
          <w:rFonts w:ascii="Calibri" w:hAnsi="Calibri"/>
          <w:b/>
          <w:color w:val="4A6B25"/>
          <w:sz w:val="20"/>
        </w:rPr>
        <w:t xml:space="preserve">2. </w:t>
      </w:r>
      <w:r>
        <w:rPr>
          <w:rFonts w:ascii="Calibri" w:hAnsi="Calibri"/>
          <w:b w:val="0"/>
          <w:color w:val="3A4A28"/>
          <w:sz w:val="20"/>
        </w:rPr>
        <w:t>Organic production growth from ~85,000 GEOs to 110,000-125,000 GEOs by 2029 provides gold-price-independent revenue expansion, plus near-term Gold Fields and Sailfish acquisitions closing Q2 2026 [1]</w:t>
      </w:r>
    </w:p>
    <w:p>
      <w:pPr>
        <w:spacing w:before="40" w:after="40"/>
        <w:ind w:left="283"/>
      </w:pPr>
      <w:r>
        <w:rPr>
          <w:rFonts w:ascii="Calibri" w:hAnsi="Calibri"/>
          <w:b/>
          <w:color w:val="4A6B25"/>
          <w:sz w:val="20"/>
        </w:rPr>
        <w:t xml:space="preserve">3. </w:t>
      </w:r>
      <w:r>
        <w:rPr>
          <w:rFonts w:ascii="Calibri" w:hAnsi="Calibri"/>
          <w:b w:val="0"/>
          <w:color w:val="3A4A28"/>
          <w:sz w:val="20"/>
        </w:rPr>
        <w:t>Fortress balance sheet (minimal debt, massive cash flow) enables accretive acquisitions during mining industry distress, with management demonstrating capital discipline through share buybacks at current levels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Gold price dependency — revenue is heavily leveraged to gold at $4,873/oz, and a correction toward $3,000/oz would compress revenue ~40% with amplified earnings impact given the fixed depletion charges [1]</w:t>
      </w:r>
    </w:p>
    <w:p>
      <w:pPr>
        <w:spacing w:before="40" w:after="40"/>
        <w:ind w:left="283"/>
      </w:pPr>
      <w:r>
        <w:rPr>
          <w:rFonts w:ascii="Calibri" w:hAnsi="Calibri"/>
          <w:b/>
          <w:color w:val="4A6B25"/>
          <w:sz w:val="20"/>
        </w:rPr>
        <w:t xml:space="preserve">2. </w:t>
      </w:r>
      <w:r>
        <w:rPr>
          <w:rFonts w:ascii="Calibri" w:hAnsi="Calibri"/>
          <w:b w:val="0"/>
          <w:color w:val="3A4A28"/>
          <w:sz w:val="20"/>
        </w:rPr>
        <w:t>CEO succession uncertainty — three CEO changes in 18 months (Roosen, Singh, Attew) introduces execution and strategic continuity risk; analysts flagged Singh's 'unexpected departure' as negative for the stock [2]</w:t>
      </w:r>
    </w:p>
    <w:p>
      <w:pPr>
        <w:spacing w:before="40" w:after="40"/>
        <w:ind w:left="283"/>
      </w:pPr>
      <w:r>
        <w:rPr>
          <w:rFonts w:ascii="Calibri" w:hAnsi="Calibri"/>
          <w:b/>
          <w:color w:val="4A6B25"/>
          <w:sz w:val="20"/>
        </w:rPr>
        <w:t xml:space="preserve">3. </w:t>
      </w:r>
      <w:r>
        <w:rPr>
          <w:rFonts w:ascii="Calibri" w:hAnsi="Calibri"/>
          <w:b w:val="0"/>
          <w:color w:val="3A4A28"/>
          <w:sz w:val="20"/>
        </w:rPr>
        <w:t>Valuation risk — trailing P/E of 38.3x reflects elevated gold prices and premium multiples that could contract sharply if gold pulls back or the market rotates from safe-haven assets to risk-on positioning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 IMMUNE): OR Royalties' business model is structurally immune to AI disruption. The company earns royalties and streaming revenue from physical mining operations — gold, silver, and other precious metals extracted from the earth through geological processes that AI cannot replicate or substitute [1]. The royalty model has zero operating risk (no mines to operate, no workforce to replace) and is entirely asset-backed by physical mineral deposits with decades-long production lives. AI data center buildouts are actually a positive tailwind — the massive capital expenditure on AI infrastructure drives inflation expectations and increases demand for gold as a hedge, while also consuming copper and other metals that OR streams. AI Opportunity (0/1): No AI-derived revenue. OR Royalties is a financial vehicle collecting royalties from mining operations with no AI product or service component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OR Royalties Q1 2026 Earnings — $103M revenue (+87% YoY), 97% cash margins, gold at $4,873/oz; FY2025 revenue $277M (+59.4%); 5yr outlook 110-125k GEOs by 2029, April 2026</w:t>
      </w:r>
    </w:p>
    <w:p>
      <w:pPr>
        <w:spacing w:before="20" w:after="20"/>
        <w:ind w:left="170"/>
      </w:pPr>
      <w:r>
        <w:rPr>
          <w:rFonts w:ascii="Calibri" w:hAnsi="Calibri"/>
          <w:b/>
          <w:color w:val="4A6B25"/>
          <w:sz w:val="15"/>
        </w:rPr>
        <w:t xml:space="preserve">2. </w:t>
      </w:r>
      <w:r>
        <w:rPr>
          <w:rFonts w:ascii="Calibri" w:hAnsi="Calibri"/>
          <w:b w:val="0"/>
          <w:color w:val="3A4A28"/>
          <w:sz w:val="17"/>
        </w:rPr>
        <w:t>OR Royalties leadership — CEO Jason Attew appointed January 2024, founder Sean Roosen tenure 2014-2023, Sandeep Singh unexpected departure, Proactive Investors 2024</w:t>
      </w:r>
    </w:p>
    <w:p>
      <w:pPr>
        <w:spacing w:before="20" w:after="20"/>
        <w:ind w:left="170"/>
      </w:pPr>
      <w:r>
        <w:rPr>
          <w:rFonts w:ascii="Calibri" w:hAnsi="Calibri"/>
          <w:b/>
          <w:color w:val="4A6B25"/>
          <w:sz w:val="15"/>
        </w:rPr>
        <w:t xml:space="preserve">3. </w:t>
      </w:r>
      <w:r>
        <w:rPr>
          <w:rFonts w:ascii="Calibri" w:hAnsi="Calibri"/>
          <w:b w:val="0"/>
          <w:color w:val="3A4A28"/>
          <w:sz w:val="17"/>
        </w:rPr>
        <w:t>OR Royalties 2024 Sustainability Report — 'ESG Industry Top-Rated' Sustainalytics, 'AA' MSCI, 'Prime' ISS, UN Global Compact, Great Place to Work, climate strategy, GlobeNewsWire April 2025</w:t>
      </w:r>
    </w:p>
    <w:p>
      <w:pPr>
        <w:spacing w:before="20" w:after="20"/>
        <w:ind w:left="170"/>
      </w:pPr>
      <w:r>
        <w:rPr>
          <w:rFonts w:ascii="Calibri" w:hAnsi="Calibri"/>
          <w:b/>
          <w:color w:val="4A6B25"/>
          <w:sz w:val="15"/>
        </w:rPr>
        <w:t xml:space="preserve">4. </w:t>
      </w:r>
      <w:r>
        <w:rPr>
          <w:rFonts w:ascii="Calibri" w:hAnsi="Calibri"/>
          <w:b w:val="0"/>
          <w:color w:val="3A4A28"/>
          <w:sz w:val="17"/>
        </w:rPr>
        <w:t>OR Royalties investor relations — $12.9M share buyback March 2026, institutional holdings +2.88% QoQ, balance sheet data, 2026</w:t>
      </w:r>
    </w:p>
    <w:p>
      <w:pPr>
        <w:spacing w:before="20" w:after="20"/>
        <w:ind w:left="170"/>
      </w:pPr>
      <w:r>
        <w:rPr>
          <w:rFonts w:ascii="Calibri" w:hAnsi="Calibri"/>
          <w:b/>
          <w:color w:val="4A6B25"/>
          <w:sz w:val="15"/>
        </w:rPr>
        <w:t xml:space="preserve">5. </w:t>
      </w:r>
      <w:r>
        <w:rPr>
          <w:rFonts w:ascii="Calibri" w:hAnsi="Calibri"/>
          <w:b w:val="0"/>
          <w:color w:val="3A4A28"/>
          <w:sz w:val="17"/>
        </w:rPr>
        <w:t>GuruFocus / CompaniesMarketCap — OR key statistics: PE 38.34, Forward PE 20.95, D/E 8%, GF Value $37.01, accessed July 2026</w:t>
      </w:r>
    </w:p>
    <w:p>
      <w:pPr>
        <w:spacing w:before="20" w:after="20"/>
        <w:ind w:left="170"/>
      </w:pPr>
      <w:r>
        <w:rPr>
          <w:rFonts w:ascii="Calibri" w:hAnsi="Calibri"/>
          <w:b/>
          <w:color w:val="4A6B25"/>
          <w:sz w:val="15"/>
        </w:rPr>
        <w:t xml:space="preserve">6. </w:t>
      </w:r>
      <w:r>
        <w:rPr>
          <w:rFonts w:ascii="Calibri" w:hAnsi="Calibri"/>
          <w:b w:val="0"/>
          <w:color w:val="3A4A28"/>
          <w:sz w:val="17"/>
        </w:rPr>
        <w:t>Snowball Analytics / Dividend.com — OR dividend history: 0.9% yield, ~20% cash payout ratio, 10 consecutive years paid, 7.7% 5yr growth CAGR,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