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OXSQ</w:t>
      </w:r>
      <w:r>
        <w:rPr>
          <w:rFonts w:ascii="Calibri" w:hAnsi="Calibri"/>
          <w:b/>
          <w:color w:val="1A2010"/>
          <w:sz w:val="40"/>
        </w:rPr>
        <w:t xml:space="preserve">  Oxford Square Capital Corp.</w:t>
      </w:r>
    </w:p>
    <w:p>
      <w:pPr>
        <w:spacing w:after="120"/>
      </w:pPr>
      <w:r>
        <w:rPr>
          <w:rFonts w:ascii="Calibri" w:hAnsi="Calibri"/>
          <w:b/>
          <w:color w:val="6E8450"/>
          <w:sz w:val="18"/>
        </w:rPr>
        <w:t>DIVIDEND SLEEVE · 2026-08-03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Oxford Square Capital Corp. is a publicly traded business development company (BDC) operating as a closed-end, non-diversified management investment company regulated under the Investment Company Act of 1940. The firm invests primarily in corporate debt securities and collateralized loan obligation (CLO) equity and debt tranches, targeting smaller technology-related companies. Externally managed by Oxford Square Management, LLC. Founded in 2003 as TICC Capital Corp., renamed to Oxford Square Capital in 2018. CEO Jonathan Cohen has led the company since its founding. Headquartered in Greenwich, Connecticut.</w:t>
      </w:r>
    </w:p>
    <w:p>
      <w:r>
        <w:rPr>
          <w:rFonts w:ascii="Calibri" w:hAnsi="Calibri"/>
          <w:b/>
          <w:color w:val="6E8450"/>
          <w:sz w:val="18"/>
        </w:rPr>
        <w:t>15 Employees · https://www.oxfordsquarecapital.com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OXSQ has not executed any meaningful product launches, market pivots, or business model transformations in the past 5 years — or indeed since its founding in 2003. The company continues to operate the same CLO equity and tech-focused corporate debt investment strategy it has always run [1]. The rebrand from TICC Capital to Oxford Square Capital in 2018 was cosmetic, not strategic. AI Deployment (0/2): No evidence of AI-powered investment tools, automated underwriting, or AI-driven portfolio management. The small externally managed structure relies on traditional credit analysis. Market Share (0/2): At approximately $147M market cap, OXSQ is one of the smallest publicly traded BDCs with negligible market share in the broader credit investment space, dwarfed by Ares Capital ($14B+), Main Street Capital ($5B+), and dozens of larger peers [4]. Product Pipeline (0/2): No next-generation investment products, strategies, or platforms disclosed. The investment approach has remained entirely static. R&amp;D Intensity (0/1): Not applicable — BDCs have no R&amp;D function, and the company shows no evidence of technological investment or innovation in its investment process.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OXSQ's stated purpose is to provide capital to established businesses and generate income for shareholders through CLO and debt investments — a purely functional description with no inspirational component, interchangeable with any BDC peer [1]. The company exists to generate financial returns, with no articulated broader purpose or vision. Community Impact (0/2): No evidence of charitable programs, community investment, or philanthropic initiatives. As a small externally managed BDC with minimal staff, community engagement is effectively nonexistent. Employee Retention (0/2): OXSQ is externally managed through Oxford Square Management with no disclosed full-time employees of its own, making employee retention assessment impossible. CEO Cohen's 23-year tenure provides leadership continuity [1]. Insider Buying (0/2): No evidence of meaningful recent executive open-market share purchases was identified. Cohen's long tenure at the helm represents ongoing operational commitment but not the kind of at-risk personal capital investment the rubric rewards.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8 of 10 dividend metrics (Forward P/E and Revenue Growth 5yr CAGR excluded due to negative/unreliable data). The financial picture has deteriorated significantly: NAV per share collapsed from $2.06 to $1.32 YoY — a 36% destruction of book value — while the company diluted shareholders with 11.3M new shares and posted $5.2M in realized losses [1][3]. ROE is deeply negative at -26.56%, reflecting ongoing portfolio losses [4]. Profit margin is -92.37% as unrealized and realized losses overwhelm investment income [4]. D/E of approximately 123% is moderate for a BDC but reflects $155.3M in debt against a shrinking $135M equity base [1]. The one positive metric is the 23-year consecutive dividend payment history (2x weight), though the dividend has been cut multiple times with 0 consecutive years of growth and negative 5-year dividend growth CAGR of approximately -8% [4]. Q2 2026 total investment income was $9.4M with net investment income of $5.1M ($0.05/share), failing to cover the $0.105/quarter distribution rate [3]. Liquidity check: ~1.72M avg daily volume x $1.55 = $2.67M, above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Oxford Square operates with a predominantly finite mindset focused on maintaining monthly distributions and managing a contracting portfolio. The company's 23-year existence without meaningful strategic evolution, persistent and accelerating NAV erosion (down 36% YoY to $1.32/share), distribution-ahead-of-income structure, and systematic shareholder dilution reflect an organization optimized for near-term income appearances rather than long-term institutional endurance. Maintaining an unsustainable dividend while destroying NAV is the antithesis of infinite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Oxford Square has no articulated Just Cause. The company exists to generate income from CLO equity and corporate debt investments and distribute it to shareholders [1]. There is no vision of a better future, no purpose beyond financial returns, and no evidence that leadership frames the company's work in aspirational or purpose-driven terms. This is a financial vehicle, not a purpose-driven organization.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OXSQ is externally managed with minimal disclosed staff, making traditional trust assessment difficult. CEO Jonathan Cohen has led the company since its 2003 founding as TICC Capital, providing 23 years of leadership continuity [1]. The lack of reported management turnover suggests stability. However, in an externally managed structure with minimal employees, this reflects organizational smallness rather than a deliberate culture of trust and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learning from rival BDCs. OXSQ's earnings calls and communications focus narrowly on portfolio metrics and distribution levels rather than competitive positioning or self-improvement. The company does not benchmark itself against higher-performing peers like Ares Capital or Main Street Capital in its public communications.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Oxford Square has maintained essentially the same CLO equity and tech-focused debt investment strategy since founding over two decades ago [1]. The company has not adapted its investment approach, pivoted to new asset classes, or evolved its strategy in any meaningful way despite persistent underperformance and accelerating NAV erosion. The 2018 rebrand from TICC Capital was cosmetic. In a rapidly evolving credit market where larger competitors are adopting AI and expanding into new structures, this rigidity is a significant weakness.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long-term investments at the expense of short-term appearances. The pattern is one of maintaining unsustainably high monthly distributions ($0.035/share) while NAV erodes from $2.06 to $1.32 YoY, systematically destroying shareholder equity to preserve the illusion of income stability [1][3]. Net investment income of $0.05/share per quarter fails to cover the $0.105/quarter distribution. Cutting the dividend to preserve NAV and rebuild equity would be courageous; maintaining it while destroying capital at an accelerating rate is the opposite of Sinek's courage to lead.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Oxford Square offers a headline 27.1% dividend yield and has maintained monthly distributions for 23 consecutive years, potentially appealing to income-focused investors willing to accept NAV erosion in exchange for current cash flow [4]. Q2 2026 total investment income was $9.4M with net investment income of $5.1M ($0.05/share), and the portfolio appears to be stabilizing after significant realized losses [3]. D/E of 123% is within BDC regulatory limits, and the $2.67M daily dollar volume provides adequate liquidity for individual investors. CEO Cohen's 23-year tenure provides management continuity and deep CLO market expertise.</w:t>
      </w:r>
    </w:p>
    <w:p>
      <w:pPr>
        <w:spacing w:after="120"/>
      </w:pPr>
      <w:r>
        <w:rPr>
          <w:rFonts w:ascii="Calibri" w:hAnsi="Calibri"/>
          <w:b w:val="0"/>
          <w:color w:val="3A4A28"/>
          <w:sz w:val="20"/>
        </w:rPr>
        <w:t>The bear case is overwhelming and the data is worsening: NAV per share collapsed 36% from $2.06 to $1.32 in a single year, driven by $5.2M in realized losses and dilution from 11.3M new shares issued [1][3]. ROE of -26.56% and profit margin of -92.37% demonstrate the portfolio is generating losses, not income — the company is distributing capital, not earnings. Monthly distributions of $0.035/share ($0.42 annually) against EPS of -$0.43 represent pure return of capital, not investment return. The 27.1% yield is a value trap that masks systematic NAV destruction. The stock has declined approximately 80% since listing, and Q2 2026 slides confirm the pattern continues: portfolio stabilization rhetoric accompanies further NAV decline [3]. The dividend has been cut multiple times over the past decade with 0 years of consecutive growth and -8% five-year dividend CAGR. Further cuts are virtually certain as the gap between distributions and earnings income remains unsustainable.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 equity yield stabilization and tech credit market recovery could slow NAV erosion and improve net investment income coverage of the $0.035 monthly distribution</w:t>
      </w:r>
    </w:p>
    <w:p>
      <w:pPr>
        <w:spacing w:before="40" w:after="40"/>
        <w:ind w:left="283"/>
      </w:pPr>
      <w:r>
        <w:rPr>
          <w:rFonts w:ascii="Calibri" w:hAnsi="Calibri"/>
          <w:b/>
          <w:color w:val="4A6B25"/>
          <w:sz w:val="20"/>
        </w:rPr>
        <w:t xml:space="preserve">2. </w:t>
      </w:r>
      <w:r>
        <w:rPr>
          <w:rFonts w:ascii="Calibri" w:hAnsi="Calibri"/>
          <w:b w:val="0"/>
          <w:color w:val="3A4A28"/>
          <w:sz w:val="20"/>
        </w:rPr>
        <w:t>Technology sector lending recovery driven by AI adoption increasing borrowing demand from OXSQ's target market of smaller technology companies</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alternatives including merger with a larger BDC platform that could reduce external management costs, improve portfolio diversification, and halt NAV erosion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Further dividend cuts are virtually certain given that EPS of -$0.43 cannot sustain $0.42 annual distributions — each month of uncovered payouts accelerates NAV destruction from the already-collapsed $1.32/share level</w:t>
      </w:r>
    </w:p>
    <w:p>
      <w:pPr>
        <w:spacing w:before="40" w:after="40"/>
        <w:ind w:left="283"/>
      </w:pPr>
      <w:r>
        <w:rPr>
          <w:rFonts w:ascii="Calibri" w:hAnsi="Calibri"/>
          <w:b/>
          <w:color w:val="4A6B25"/>
          <w:sz w:val="20"/>
        </w:rPr>
        <w:t xml:space="preserve">2. </w:t>
      </w:r>
      <w:r>
        <w:rPr>
          <w:rFonts w:ascii="Calibri" w:hAnsi="Calibri"/>
          <w:b w:val="0"/>
          <w:color w:val="3A4A28"/>
          <w:sz w:val="20"/>
        </w:rPr>
        <w:t>Systematic NAV erosion from distributing capital in excess of earnings has destroyed 36% of book value in 12 months, with 11.3M new dilutive shares compounding the damage — the stock's 80% cumulative decline since listing demonstrates this is a structural, not cyclical, deterioration</w:t>
      </w:r>
    </w:p>
    <w:p>
      <w:pPr>
        <w:spacing w:before="40" w:after="40"/>
        <w:ind w:left="283"/>
      </w:pPr>
      <w:r>
        <w:rPr>
          <w:rFonts w:ascii="Calibri" w:hAnsi="Calibri"/>
          <w:b/>
          <w:color w:val="4A6B25"/>
          <w:sz w:val="20"/>
        </w:rPr>
        <w:t xml:space="preserve">3. </w:t>
      </w:r>
      <w:r>
        <w:rPr>
          <w:rFonts w:ascii="Calibri" w:hAnsi="Calibri"/>
          <w:b w:val="0"/>
          <w:color w:val="3A4A28"/>
          <w:sz w:val="20"/>
        </w:rPr>
        <w:t>CLO equity concentration risk in a rising-default environment — compressed CLO yields and increasing leveraged loan defaults could simultaneously reduce OXSQ's income and impair its largest asset class, creating a reinforcing downward spiral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OXSQ's core lending and CLO investment business has meaningful defensive moats against AI disruption. Credit analysis of CLO tranches involves complex structuring judgment, regulatory expertise under the 1940 Act, and relationship-driven deal sourcing that AI cannot easily replicate in the near term [1]. However, the BDC industry faces gradual AI-driven disintermediation as larger platforms (Ares Capital, Blackstone Credit) deploy AI-powered credit analysis and automated underwriting at scale, potentially marginalizing small BDCs with limited technological resources. OXSQ's focus on technology-sector lending means its borrower base may face higher AI disruption risk than traditional middle-market borrowers, creating indirect portfolio concentration risk. The company's capital-deployment function (having capital to lend) provides structural protection that AI cannot substitute. AI Opportunity (0/1): Oxford Square does not generate any revenue from AI products or services. The company has no AI initiatives, platforms, or technology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Oxford Square Capital Corp. Q2 2026 NAV and Distribution Announcement — NAV $1.32/share, $0.035 Monthly Distribution, SEC 8-K Filing, July 2026</w:t>
      </w:r>
    </w:p>
    <w:p>
      <w:pPr>
        <w:spacing w:before="20" w:after="20"/>
        <w:ind w:left="170"/>
      </w:pPr>
      <w:r>
        <w:rPr>
          <w:rFonts w:ascii="Calibri" w:hAnsi="Calibri"/>
          <w:b/>
          <w:color w:val="4A6B25"/>
          <w:sz w:val="15"/>
        </w:rPr>
        <w:t xml:space="preserve">2. </w:t>
      </w:r>
      <w:r>
        <w:rPr>
          <w:rFonts w:ascii="Calibri" w:hAnsi="Calibri"/>
          <w:b w:val="0"/>
          <w:color w:val="3A4A28"/>
          <w:sz w:val="17"/>
        </w:rPr>
        <w:t>Oxford Square Capital Q1 2026 Results — NAV Decline from $1.69 to $1.32, Realized Losses of $5.2M, SEC 8-K Filing, 2026</w:t>
      </w:r>
    </w:p>
    <w:p>
      <w:pPr>
        <w:spacing w:before="20" w:after="20"/>
        <w:ind w:left="170"/>
      </w:pPr>
      <w:r>
        <w:rPr>
          <w:rFonts w:ascii="Calibri" w:hAnsi="Calibri"/>
          <w:b/>
          <w:color w:val="4A6B25"/>
          <w:sz w:val="15"/>
        </w:rPr>
        <w:t xml:space="preserve">3. </w:t>
      </w:r>
      <w:r>
        <w:rPr>
          <w:rFonts w:ascii="Calibri" w:hAnsi="Calibri"/>
          <w:b w:val="0"/>
          <w:color w:val="3A4A28"/>
          <w:sz w:val="17"/>
        </w:rPr>
        <w:t>Oxford Square Capital Q2 2026 Earnings — Investment Income $9.4M, Net Investment Income $5.1M ($0.05/share), Investing.com Transcript,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OXSQ Key Statistics, Dividend History, and Trading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