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PAAS</w:t>
      </w:r>
      <w:r>
        <w:rPr>
          <w:rFonts w:ascii="Calibri" w:hAnsi="Calibri"/>
          <w:b/>
          <w:color w:val="1A2010"/>
          <w:sz w:val="40"/>
        </w:rPr>
        <w:t xml:space="preserve">  Pan American Silver Corp.</w:t>
      </w:r>
    </w:p>
    <w:p>
      <w:pPr>
        <w:spacing w:after="120"/>
      </w:pPr>
      <w:r>
        <w:rPr>
          <w:rFonts w:ascii="Calibri" w:hAnsi="Calibri"/>
          <w:b/>
          <w:color w:val="6E8450"/>
          <w:sz w:val="18"/>
        </w:rPr>
        <w:t>GROWTH SLEEVE · 2026-08-17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Pan American Silver Corp. is the world's largest primary silver producer, operating mines across Chile, Peru, Brazil, Mexico, Canada, Argentina, Bolivia, and Guatemala. The company also produces gold, zinc, lead, and copper through Silver and Gold segments. Q2 2026 revenue reached $1.12B (+38% YoY) with net earnings of $305M ($0.72/share) and attributable free cash flow of $344M. Record shareholder returns of $300M in Q2 included buybacks and dividends. Cash and short-term investments totaled $1.8B with total liquidity of $3.2B. Founded in 1979, headquartered in Vancouver, Canada.</w:t>
      </w:r>
    </w:p>
    <w:p>
      <w:r>
        <w:rPr>
          <w:rFonts w:ascii="Calibri" w:hAnsi="Calibri"/>
          <w:b/>
          <w:color w:val="6E8450"/>
          <w:sz w:val="18"/>
        </w:rPr>
        <w:t>9,348 Employees · https://www.panamericansilver.com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Pan American Silver's 2023 Yamana Gold acquisition and subsequent Juanicipio mine stake acquisition (44%) were transformative, expanding gold production and driving exceptional results — Q2 2026 revenue of $1.12B (+38% YoY), net earnings of $305M ($0.72/share), and $344M attributable FCF [1]. The company has successfully integrated major acquisitions while maintaining operational discipline across 10+ mines in 8 countries. AI Deployment (1/2): PAAS is implementing AI for faster discovery and higher-grade targeting, shortening exploration cycles and de-risking capital allocation [2]. Autonomous hauling and remote drilling are being deployed to increase uptime and throughput. Specific dollar savings have not been publicly quantified. Market Share (2/2): Pan American Silver is the world's largest primary silver producer by volume, with 2026 guidance of 25-27M silver ounces and 700-750K gold ounces across a diversified portfolio spanning 8 countries [1]. The #1 position in primary silver production is a category-defining leadership role. Product Pipeline (1/2): La Colorada Skarn development (updated PEA), mine sequencing into higher silver grades at Cerro Moro, and Juanicipio expansion provide visible growth [1]. Full-year 2026 production guidance of 25-27M silver oz represents continued growth trajectory. R&amp;D Intensity (1/1): Active exploration drilling programs across all operating jurisdictions, AI integration for exploration targeting, and brownfield expansion investments demonstrate above-industry commitment to resource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Pan American Silver's mission centers on responsible mining, sustainable operations, and conducting business ethically throughout each mine's lifecycle [3]. The purpose connects to meaningful outcomes — providing employment in economically challenged regions across 8 countries with 9,348 employees — but remains primarily commercially focused without a distinctive societal vision that transcends shareholder returns. Community Impact (2/2): The company invested $14.7M in local communities in its most recent reported period, spent approximately $1.4B on wages, supplies, services, and taxes across operating regions, and earned S&amp;P Global top 9% ranking in Metals &amp; Mining for ESG performance [3]. The Escobal mine in Guatemala was paused for six years while the company engaged with 3,300+ local stakeholders on indigenous consultation requirements, demonstrating willingness to prioritize community relationships over production targets [3]. Employee Retention (1/2): CEO Michael Steinmann brings nearly 40 years of precious metals experience and has led since 2016, providing 10 years of leadership stability [2]. Glassdoor culture rating of 3.5/5 with senior management at 4.3/5 is adequate. Employees note professional leadership but also bureaucratic processes. Insider Buying (0/2): No evidence of meaningful net insider buying by executives was identified. The enhanced shareholder return framework ($300M returned in Q2 including buybacks and dividends) signals corporate confidence but is not personal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11% scores 1.0 (target &lt;=70%, extremely conservative with $1.8B cash against $841M debt). ROE of 22.41% scores 1.0 at 2x weight (target &gt;=15%). Revenue Growth YoY of ~30% (Q2 2026 +38%, Q1 +22%) scores 1.0 (target &gt;=10%). Revenue Growth 5yr CAGR of ~18% scores 1.0 at 2x weight (target &gt;=10%). Forward P/E of 10.90 scores 1.0 (target &lt;=20). Profit Margin of 32.03% scores 1.0 (target &gt;=20%) [4]. PEG of ~0.52 (Forward PE 10.90 / EPS growth forecast 20.98%) scores 1.0 at 2x weight (target &lt;=1.0). All metrics at ceiling: weighted sum 10.0 / max 10.0, Infrastructure = 10/10. Liquidity: 3.94M avg volume x $47.35 = $186M, well above $1M floor. Balance sheet is a fortress: $1.8B cash and ST investments, $3.2B total liquidity, net cash position of ~$900M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Pan American Silver demonstrates meaningful infinite-game characteristics through its 47-year operating history, patient multi-country mine development approach, and willingness to pause production at Escobal for six years to address indigenous consultation requirements — sacrificing revenue for principle. The company plays a long game with conservative leverage (D/E 11%), $14.7M annual community investment, and S&amp;P Global top 9% ESG ranking. However, heavy dependence on precious metals prices introduces inherent cyclical vulnerability, and the mission remains commercially motivated around responsible commodity production rather than a transformative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Responsible precious metals mining with community benefit across 8 countries is a genuine, partially lived cause — the company provides 9,348 jobs in economically challenged regions, invested $14.7M in communities, and earned S&amp;P Global top 9% ESG ranking in Metals &amp; Mining [3]. The six-year pause at Escobal to address indigenous consultation demonstrates that the cause extends beyond profit — management accepted zero revenue from a major asset to honor community relationships. Strategic decisions (Yamana acquisition for diversification, Escobal pause) can be traced back to the company's stated values. However, the purpose has not been validated through a sustained commodity downturn where maintaining these commitments would require genuine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Operating across 8 countries with 9,348 employees and 10+ mines requires strong local management and community trust [2]. CEO Michael Steinmann's 10 years of tenure and nearly 40 years of industry experience provide leadership credibility. Q2 2026 results — $1.12B revenue, $305M net earnings, silver AISC $17.80/oz within guidance — demonstrate effective operational execution across diverse operations [1]. However, Glassdoor culture rating of 3.5/5 with feedback citing bureaucratic processes suggests room for culture improvement beyond the corporate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Pan American competes against First Majestic Silver, Hecla Mining, Coeur Mining, and Fresnillo in silver, and Barrick, Newmont, and Agnico Eagle in gold [1]. The Yamana acquisition demonstrated a healthy competitive response — expanding through value-creating consolidation rather than destructive pricing competition. Management benchmarks AISC ($17.80/oz silver, $1,984/oz gold) against peers to drive operational improvement, and frames competition as motivation for cost discipline and portfolio optimization.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Yamana Gold acquisition fundamentally reshaped Pan American from a silver-primary producer to a diversified precious metals company, with the Juanicipio stake acquisition further expanding low-cost silver production [1]. The La Colorada Skarn development and active capital recycling demonstrate ongoing portfolio evolution. The six-year Escobal pause showed willingness to accept strategic disruption for values alignment [3]. However, the company remains fundamentally a precious metals miner and cannot pivot away from commodity exposure.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Yamana acquisition required deploying significant capital during uncertainty to transform the company's portfolio [1]. The six-year Escobal pause, accepting zero revenue from a major asset to address indigenous consultation properly, is one of the strongest examples of courageous leadership in the mining sector — choosing principle over production [3]. Returning $300M to shareholders in Q2 2026 while maintaining $1.8B cash and $600M+ annual capex demonstrates balanced capital allocation. However, the current precious metals price environment ($70.97/oz silver, $4,402/oz gold) means these commitments are funded from extraordinary cash generation, not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Pan American Silver is the world's largest primary silver producer delivering exceptional financial results at a compelling valuation. Q2 2026 revenue of $1.12B (+38% YoY) with net earnings of $305M ($0.72/share) and $344M attributable FCF demonstrate the earnings power of a diversified precious metals platform at record metal prices [1]. The balance sheet is a fortress: D/E of 11%, $1.8B cash, $3.2B total liquidity, and net cash of ~$900M. At 10.90x forward earnings with ROE of 22.41% and profit margin of 32.03%, PAAS offers significant value for a category-defining producer [4]. Silver's structural demand tailwind from AI semiconductor proliferation (55-60% of demand now industrial) provides a differentiated growth narrative beyond precious metals sentiment [2]. Record shareholder returns of $300M in Q2 with only 20% payout ratio signal substantial room for continued capital returns. FY2026 guidance of 25-27M silver oz and 700-750K gold oz provides production visibility.</w:t>
      </w:r>
    </w:p>
    <w:p>
      <w:pPr>
        <w:spacing w:after="120"/>
      </w:pPr>
      <w:r>
        <w:rPr>
          <w:rFonts w:ascii="Calibri" w:hAnsi="Calibri"/>
          <w:b w:val="0"/>
          <w:color w:val="3A4A28"/>
          <w:sz w:val="20"/>
        </w:rPr>
        <w:t>The primary risk is precious metals price dependency — Q2 2026's exceptional results were driven by realized silver of $70.97/oz and gold of $4,402/oz, and any meaningful price decline would compress margins despite competitive AISC ($17.80/oz silver, $1,984/oz gold) [1]. Gold production is expected at the low end of 700-750K oz guidance, and gold AISC at the high end of $1,700-$1,850/oz, signaling cost pressures in the gold segment. The stock has declined ~32% from its highs despite strong fundamentals, and short interest of 9.41% suggests meaningful bearish sentiment [4]. Geopolitical risk across 8 countries — including Mexico (regulatory/tax changes), Argentina (currency volatility), and Bolivia (political instability) — creates multi-jurisdictional exposure. The Escobal mine in Guatemala remains suspended after six years, representing a sunk asset with uncertain resolution timeline [3]. The Inspire Impact Score of 0 (MIXED) reflects neutral faith alignment with no positive or negative attributions. Taxes paid of $585-635M in 2026 guidance represent a significant cash drain that reduces effective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Silver's structural demand growth from AI semiconductor proliferation — 55-60% of silver demand is now industrial, with AI data centers and chip manufacturing creating incremental consumption that tightens supply for the world's largest primary producer [2]</w:t>
      </w:r>
    </w:p>
    <w:p>
      <w:pPr>
        <w:spacing w:before="40" w:after="40"/>
        <w:ind w:left="283"/>
      </w:pPr>
      <w:r>
        <w:rPr>
          <w:rFonts w:ascii="Calibri" w:hAnsi="Calibri"/>
          <w:b/>
          <w:color w:val="4A6B25"/>
          <w:sz w:val="20"/>
        </w:rPr>
        <w:t xml:space="preserve">2. </w:t>
      </w:r>
      <w:r>
        <w:rPr>
          <w:rFonts w:ascii="Calibri" w:hAnsi="Calibri"/>
          <w:b w:val="0"/>
          <w:color w:val="3A4A28"/>
          <w:sz w:val="20"/>
        </w:rPr>
        <w:t>Record shareholder returns accelerating — $300M returned in Q2 2026 alone (buybacks + dividends) with only 20% payout ratio, $1.8B cash, and $1.3B annual FCF providing runway for sustained capital returns well above the current 1.45% dividend yield [1]</w:t>
      </w:r>
    </w:p>
    <w:p>
      <w:pPr>
        <w:spacing w:before="40" w:after="40"/>
        <w:ind w:left="283"/>
      </w:pPr>
      <w:r>
        <w:rPr>
          <w:rFonts w:ascii="Calibri" w:hAnsi="Calibri"/>
          <w:b/>
          <w:color w:val="4A6B25"/>
          <w:sz w:val="20"/>
        </w:rPr>
        <w:t xml:space="preserve">3. </w:t>
      </w:r>
      <w:r>
        <w:rPr>
          <w:rFonts w:ascii="Calibri" w:hAnsi="Calibri"/>
          <w:b w:val="0"/>
          <w:color w:val="3A4A28"/>
          <w:sz w:val="20"/>
        </w:rPr>
        <w:t>La Colorada Skarn development PEA update could unlock significant value in one of the world's largest polymetallic deposits, providing multi-year production growth optionality beyond the current 25-27M silver oz guidance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Precious metals price dependency — silver AISC of $17.80/oz provides margin at $70.97/oz realized price, but a silver decline to $25-30/oz would compress margins by 60-75%, and gold AISC trending toward the high end of $1,700-1,850/oz guidance signals cost pressures [1]</w:t>
      </w:r>
    </w:p>
    <w:p>
      <w:pPr>
        <w:spacing w:before="40" w:after="40"/>
        <w:ind w:left="283"/>
      </w:pPr>
      <w:r>
        <w:rPr>
          <w:rFonts w:ascii="Calibri" w:hAnsi="Calibri"/>
          <w:b/>
          <w:color w:val="4A6B25"/>
          <w:sz w:val="20"/>
        </w:rPr>
        <w:t xml:space="preserve">2. </w:t>
      </w:r>
      <w:r>
        <w:rPr>
          <w:rFonts w:ascii="Calibri" w:hAnsi="Calibri"/>
          <w:b w:val="0"/>
          <w:color w:val="3A4A28"/>
          <w:sz w:val="20"/>
        </w:rPr>
        <w:t>Geopolitical concentration across 8 Latin American and Canadian jurisdictions, with Mexico regulatory/tax risk, Argentina currency volatility, Bolivia political instability, and Guatemala Escobal still suspended after six years of indigenous consultation [3]</w:t>
      </w:r>
    </w:p>
    <w:p>
      <w:pPr>
        <w:spacing w:before="40" w:after="40"/>
        <w:ind w:left="283"/>
      </w:pPr>
      <w:r>
        <w:rPr>
          <w:rFonts w:ascii="Calibri" w:hAnsi="Calibri"/>
          <w:b/>
          <w:color w:val="4A6B25"/>
          <w:sz w:val="20"/>
        </w:rPr>
        <w:t xml:space="preserve">3. </w:t>
      </w:r>
      <w:r>
        <w:rPr>
          <w:rFonts w:ascii="Calibri" w:hAnsi="Calibri"/>
          <w:b w:val="0"/>
          <w:color w:val="3A4A28"/>
          <w:sz w:val="20"/>
        </w:rPr>
        <w:t>Short interest of 9.41% and 32% decline from highs despite strong fundamentals suggest the market views current metal prices as unsustainable — any narrative shift on precious metals could trigger accelerated selling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Precious metals mining is an inherently physical, capital-intensive, and geologically complex activity that AI cannot displace [1]. Underground and open-pit mining, mineral processing, and refining require massive physical infrastructure, heavy equipment, specialized geological expertise, and regulatory permitting that exist entirely outside the digital domain. Pan American Silver's operations span 8 countries with diverse geological environments, requiring local knowledge and community relationships that software cannot replicate. Critically, silver is becoming increasingly strategic for AI infrastructure — every advanced semiconductor uses silver for electrical contacts and solder, and analysts estimate 55-60% of all silver demand is now industrial, including AI-driven chip proliferation and data center construction [2]. AI infrastructure is a 'vampire sector' for silver, creating structural demand growth that directly benefits the world's largest primary silver producer. AI Opportunity (0/1): While silver benefits enormously from AI-driven industrial demand, Pan American Silver does not generate revenue from AI products, services, or infrastructure directly. The company sells a commodity that is consumed by AI supply chains, which is captured in the risk protection score rather than the opportunity tiebreaker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Pan American Silver Q2 2026 Earnings Release — Revenue $1.12B (+38% YoY), Net Earnings $305M ($0.72/share), Attributable FCF $344M, $300M Shareholder Returns, Silver AISC $17.80/oz, Gold AISC $1,984/oz, Cash $1.8B, Liquidity $3.2B, August 2026</w:t>
      </w:r>
    </w:p>
    <w:p>
      <w:pPr>
        <w:spacing w:before="20" w:after="20"/>
        <w:ind w:left="170"/>
      </w:pPr>
      <w:r>
        <w:rPr>
          <w:rFonts w:ascii="Calibri" w:hAnsi="Calibri"/>
          <w:b/>
          <w:color w:val="4A6B25"/>
          <w:sz w:val="15"/>
        </w:rPr>
        <w:t xml:space="preserve">2. </w:t>
      </w:r>
      <w:r>
        <w:rPr>
          <w:rFonts w:ascii="Calibri" w:hAnsi="Calibri"/>
          <w:b w:val="0"/>
          <w:color w:val="3A4A28"/>
          <w:sz w:val="17"/>
        </w:rPr>
        <w:t>Pan American Silver AI &amp; Innovation, CEO Michael Steinmann (10yr tenure), Glassdoor Reviews (Culture 3.5, Sr Mgmt 4.3), Silver-AI Industrial Demand (55-60% Industrial), Autonomous Mining Technology,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Pan American Silver Sustainability Report — $14.7M Community Investment, S&amp;P Global Top 9% Metals &amp; Mining ESG, Escobal Six-Year Indigenous Consultation Pause, 3,300+ Stakeholders, Sustainalytics 8th/27 Precious Metals,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PAAS Key Statistics: Stock Price $47.35, PE 14.10, Forward PE 10.90, ROE 22.41%, Profit Margin 32.03%, D/E 11%, Avg Volume 3.94M, Dividend Yield 1.45%, FCF $1.3B,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