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PNR</w:t>
      </w:r>
      <w:r>
        <w:rPr>
          <w:rFonts w:ascii="Calibri" w:hAnsi="Calibri"/>
          <w:b/>
          <w:color w:val="1A2010"/>
          <w:sz w:val="40"/>
        </w:rPr>
        <w:t xml:space="preserve">  Pentair plc</w:t>
      </w:r>
    </w:p>
    <w:p>
      <w:pPr>
        <w:spacing w:after="120"/>
      </w:pPr>
      <w:r>
        <w:rPr>
          <w:rFonts w:ascii="Calibri" w:hAnsi="Calibri"/>
          <w:b/>
          <w:color w:val="6E8450"/>
          <w:sz w:val="18"/>
        </w:rPr>
        <w:t>GROWTH SLEEVE · 2026-07-25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Kingdom</w:t>
      </w:r>
    </w:p>
    <w:p>
      <w:pPr>
        <w:spacing w:after="80"/>
      </w:pPr>
      <w:r>
        <w:rPr>
          <w:rFonts w:ascii="Calibri" w:hAnsi="Calibri"/>
          <w:b w:val="0"/>
          <w:color w:val="3A4A28"/>
          <w:sz w:val="20"/>
        </w:rPr>
        <w:t>Pentair designs, manufactures, and sells water treatment solutions and sustainable applications across three segments: Flow (pumps, filtration, fluid treatment), Water Solutions (residential and commercial water treatment, ice machines), and Pool (pumps, filters, heaters, automation). Founded in 1966 and headquartered in London, UK, the Pool segment experienced severe inventory destocking in Q2 2026 that triggered a major guidance revision.</w:t>
      </w:r>
    </w:p>
    <w:p>
      <w:r>
        <w:rPr>
          <w:rFonts w:ascii="Calibri" w:hAnsi="Calibri"/>
          <w:b/>
          <w:color w:val="6E8450"/>
          <w:sz w:val="18"/>
        </w:rPr>
        <w:t>9,000 Employees · https://www.pentair.com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Pentair completed a multi-year transformation from a diversified industrial conglomerate to a pure-play water solutions company through the nVent separation (2018) and Manitowoc Ice acquisition (2022), and Q1 2026 delivered strong results with sales of $1,036.7M and adjusted EPS of $1.22 (+10% YoY) [1]. However, the Q2 2026 pool inventory destocking — with $170M in pool sales decline and $105M income impact — revealed vulnerability in the largest segment and undermined the margin expansion narrative [2]. AI Deployment (1/2): Adrian Chiu was appointed EVP and Chief Strategy, Innovation and Digital Officer in February 2026, recognizing 'the transformative role of technology and AI in shaping customer experience' [3]. Pool Brain integration and digital transformation initiatives are underway but no quantified AI revenue has been reported. Market Share (1/2): Pentair holds meaningful positions in residential and commercial water treatment, pool equipment, and specialty pumps with strong brands (Pentair, Everpure, Manitowoc Ice, Kreepy Krauly) — a relevant player but not a dominant category leader in any single market [1]. Pipeline (1/2): Digital transformation under Chiu's leadership and Pool Brain connected technology represent incremental innovation. The FY2026 guidance cut from 2-4% sales growth to -4% to -7% decline significantly reduces near-term pipeline visibility [2]. R&amp;D Intensity (1/1): Investment in water technology R&amp;D is above average for the industrial machinery sector, with innovation processes that facilitated patent portfolio growth and product commercialization pipelines across filtration, connected pool equipment, and sustainable water solutions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Pentair's purpose — 'Making Better Essential' — is specific, thoughtful, and connects the company's water solutions work to a larger purpose of sustainable clean water access [4]. This is not generic; it reflects genuine intentionality about the company's role in water sustainability and has been consistently referenced in strategic decisions including the pure-play water transformation. Community Impact (1/2): Pentair's 2024 Water Grants Program awarded $1.15M to nine organizations addressing water challenges, and the company exceeded its 2030 water withdrawal target (32.8% reduction) and GHG emissions target (51.3% reduction) ahead of schedule [4]. Meaningful but not exceptional relative to company scale. Employee Retention (0/2): CFO Nicholas Brazis resigned after only 4 months in the role (March to July 2026), and CTO Phil Rolchigo departed after 20 years with the CTO role eliminated [2][3]. Securities fraud investigations have been launched questioning forecasting practices and disclosure adequacy. This pattern of leadership instability and governance concerns scores zero on trust and retention. Insider Buying (0/2): CTO Rolchigo sold $670K in stock in February 2026 at $103.22 before the stock plunged to $57.60. No meaningful net insider buying identified. The CFO departure after just 4 months raises serious questions about leadership confidence in the forward outlook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Pentair's mechanical infrastructure score remains strong based on TTM financial data, though the Q2 2026 guidance cut will significantly pressure future calculations. D/E of 55% is conservative for an industrial company [5]. ROE of 17.61% exceeds the 15% target. Forward P/E of 13.18x is attractive after the 38.7% stock decline from 52-week highs, and PEG of 1.46 is reasonable [5]. Profit margin of 15.97% is approaching the 20% target. The main weakness is anemic revenue growth — TTM of approximately 2.4% will deteriorate sharply when Q2 2026 pool destocking flows through, and the revised FY2026 guidance of -4% to -7% sales decline replaces prior 2-4% growth expectations [2]. The 5-year revenue CAGR of approximately 1% reflects Pentair's flat revenue trajectory from 2020 through 2025. Pentair declared its 50th consecutive annual dividend increase with a 1.72% yield and 26% payout ratio [5]. Liquidity is excellent at $203.8M daily traded value (3.2M avg volume at $62.88)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Pentair's 60-year history, consistent purpose around water sustainability, and patient transformation to a pure-play water company demonstrate genuine infinite game characteristics. However, the Q2 2026 crisis — pool inventory destocking, abrupt CFO departure after 4 months, securities fraud investigations, and dramatic guidance cut — severely tests the organization's resilience and leadership trust. The company's infinite game credentials are being stress-tested in real time.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Pentair's 'Making Better Essential' purpose, centered on sustainable water solutions, connects meaningfully to a global challenge — 2 billion people lack safe drinking water [4]. The company validated this cause through a decade-long transformation into a pure-play water company, divesting non-water businesses and acquiring complementary water technologies [1]. The cause shapes strategic decisions and has driven the company's patent portfolio and sustainability commitments (exceeded 2030 GHG and water targets ahead of schedule). However, the Q2 2026 crisis and securities fraud investigations test whether leadership truly lives the values or was focused on short-term stock price management (2/3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trust environment has deteriorated significantly. CFO Nicholas Brazis resigned after only 4 months (March to July 2026), raising questions about what he discovered internally [2]. CTO Phil Rolchigo departed after 20 years and the role was eliminated [3]. Securities fraud investigations were launched questioning the accuracy of management's Q1 2026 guidance that was raised just months before the Q2 collapse [2]. Analysts slashed price targets (RBC from $101 to $74, Stifel from $103 to $65). The stock plunged 38.7% from its 52-week high. Employees must navigate significant organizational uncertainty during this crisis. Sinek would see an organization where trust has been shaken at every level (0/2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Pentair operates in competitive water markets alongside Xylem, Watts Water, and A.O. Smith, and management has historically framed competitive dynamics around improving customer experience and water technology rather than destroying rivals [3]. The creation of the Chief Strategy, Innovation and Digital Officer role explicitly references evolving customer needs and industry transformation, suggesting a learning-oriented competitive mindset. However, the current crisis may shift competitive language toward survival rather than improvement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Pentair demonstrated meaningful flexibility by transforming from a diversified industrial conglomerate to a pure-play water company through the nVent separation (2018) and strategic acquisitions like Manitowoc Ice [1]. This was a deliberate multi-year pivot driven by strategic conviction about water sustainability. However, the core business model has remained consistent — this was portfolio reshaping rather than a fundamental business model reinvention. The current pool destocking crisis will test whether management has the flexibility to restructure the Pool segment or diversify revenue sources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Pentair's historical decision to separate nVent Electric and become a pure-play water company required courage — divesting profitable businesses to focus on a single end market [1]. The patient margin expansion strategy targeting 24% ROS demonstrated long-term conviction. However, the Q2 2026 crisis raises serious questions: management raised guidance in Q1 2026 while apparently unaware of the impending pool destocking disaster, and the CFO departure after 4 months suggests potential forecasting failures [2]. Courage to lead is tested when things go wrong, and the response to this crisis will determine whether leadership earns or forfeits this score going forward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Pentair is a high-quality pure-play water solutions company now trading at a significantly discounted valuation following the Q2 2026 pool destocking crisis — 13.18x forward P/E and a 38.7% decline from its 52-week high of $113.95 create a potential entry point for patient investors [5]. The company's TTM financial profile remains solid: ROE of 17.61%, profit margin of 15.97%, conservative D/E of 55%, and the 50th consecutive year of dividend increases with 1.72% yield and 26% payout ratio [5]. The core Flow and Water Solutions segments continue to perform, with commercial water treatment and data center cooling providing secular growth tailwinds. Pentair's sustainability credentials (MSCI AAA ESG rating, exceeded 2030 GHG and water targets ahead of schedule) and purpose-driven water strategy provide long-term differentiation. If the Pool segment destocking is a one-time inventory correction rather than a structural demand decline, the company's margin expansion story could resume [1][4].</w:t>
      </w:r>
    </w:p>
    <w:p>
      <w:pPr>
        <w:spacing w:after="120"/>
      </w:pPr>
      <w:r>
        <w:rPr>
          <w:rFonts w:ascii="Calibri" w:hAnsi="Calibri"/>
          <w:b w:val="0"/>
          <w:color w:val="3A4A28"/>
          <w:sz w:val="20"/>
        </w:rPr>
        <w:t>The bear case has strengthened materially since the prior screen. Management dramatically revised FY2026 guidance from 2-4% sales growth to a 4-7% sales DECLINE, with Pool segment sales declining $170M and income falling $105M in a single quarter [2]. CFO Nicholas Brazis resigned after only 4 months, and securities fraud investigations were launched questioning whether management's Q1 guidance raise was misleading given the Q2 collapse [2]. Analyst price targets were slashed (RBC: $101 to $74, Stifel: $103 to $65), and the stock hit a 52-week low of $57.60. The 5-year revenue CAGR of approximately 1% confirms that organic growth has been essentially flat, and the margin expansion thesis (targeting 24% ROS) becomes significantly harder to achieve with revenue declining. The Pool segment's dependence on residential construction and consumer discretionary spending creates ongoing cyclical vulnerability, exacerbated by high interest rates and inflation. The leadership void (no CFO, no CTO) at a critical moment raises execution risk for the turnaround. Competition from Xylem's larger scale and A.O. Smith's residential water treatment strength creates additional market share risk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trading at 13.18x forward P/E after 38.7% decline from highs — if Pool destocking proves temporary, the valuation discount could reverse as normalized earnings recover in H2 2026 and 2027 [5]</w:t>
      </w:r>
    </w:p>
    <w:p>
      <w:pPr>
        <w:spacing w:before="40" w:after="40"/>
        <w:ind w:left="283"/>
      </w:pPr>
      <w:r>
        <w:rPr>
          <w:rFonts w:ascii="Calibri" w:hAnsi="Calibri"/>
          <w:b/>
          <w:color w:val="4A6B25"/>
          <w:sz w:val="20"/>
        </w:rPr>
        <w:t xml:space="preserve">2. </w:t>
      </w:r>
      <w:r>
        <w:rPr>
          <w:rFonts w:ascii="Calibri" w:hAnsi="Calibri"/>
          <w:b w:val="0"/>
          <w:color w:val="3A4A28"/>
          <w:sz w:val="20"/>
        </w:rPr>
        <w:t>Data center water cooling demand providing secular tailwind for Flow and Water Solutions segments as AI infrastructure buildout accelerates, partially offsetting Pool weakness [3]</w:t>
      </w:r>
    </w:p>
    <w:p>
      <w:pPr>
        <w:spacing w:before="40" w:after="40"/>
        <w:ind w:left="283"/>
      </w:pPr>
      <w:r>
        <w:rPr>
          <w:rFonts w:ascii="Calibri" w:hAnsi="Calibri"/>
          <w:b/>
          <w:color w:val="4A6B25"/>
          <w:sz w:val="20"/>
        </w:rPr>
        <w:t xml:space="preserve">3. </w:t>
      </w:r>
      <w:r>
        <w:rPr>
          <w:rFonts w:ascii="Calibri" w:hAnsi="Calibri"/>
          <w:b w:val="0"/>
          <w:color w:val="3A4A28"/>
          <w:sz w:val="20"/>
        </w:rPr>
        <w:t>50th consecutive year of dividend increases with 1.72% yield and 26% payout ratio — Pentair's commitment to shareholder returns provides income support during the turnaround period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Pool segment structural risk — the $170M revenue decline and $105M income impact may reflect more than temporary destocking if high interest rates and housing weakness persist, undermining the margin expansion thesis [2]</w:t>
      </w:r>
    </w:p>
    <w:p>
      <w:pPr>
        <w:spacing w:before="40" w:after="40"/>
        <w:ind w:left="283"/>
      </w:pPr>
      <w:r>
        <w:rPr>
          <w:rFonts w:ascii="Calibri" w:hAnsi="Calibri"/>
          <w:b/>
          <w:color w:val="4A6B25"/>
          <w:sz w:val="20"/>
        </w:rPr>
        <w:t xml:space="preserve">2. </w:t>
      </w:r>
      <w:r>
        <w:rPr>
          <w:rFonts w:ascii="Calibri" w:hAnsi="Calibri"/>
          <w:b w:val="0"/>
          <w:color w:val="3A4A28"/>
          <w:sz w:val="20"/>
        </w:rPr>
        <w:t>Leadership vacuum — CFO departed after 4 months, CTO role eliminated, securities fraud investigations launched questioning forecasting practices — organizational instability at a critical moment increases execution risk [2][3]</w:t>
      </w:r>
    </w:p>
    <w:p>
      <w:pPr>
        <w:spacing w:before="40" w:after="40"/>
        <w:ind w:left="283"/>
      </w:pPr>
      <w:r>
        <w:rPr>
          <w:rFonts w:ascii="Calibri" w:hAnsi="Calibri"/>
          <w:b/>
          <w:color w:val="4A6B25"/>
          <w:sz w:val="20"/>
        </w:rPr>
        <w:t xml:space="preserve">3. </w:t>
      </w:r>
      <w:r>
        <w:rPr>
          <w:rFonts w:ascii="Calibri" w:hAnsi="Calibri"/>
          <w:b w:val="0"/>
          <w:color w:val="3A4A28"/>
          <w:sz w:val="20"/>
        </w:rPr>
        <w:t>Revenue stagnation confirmed — 5-year CAGR of ~1% and revised FY2026 guidance of -4% to -7% sales decline demonstrate that organic growth is structurally challenged, making the investment thesis entirely dependent on margin expansion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Pentair's core business — manufacturing physical water treatment equipment, pumps, filters, pool systems, and ice machines — is structurally immune to AI substitution [1]. Water treatment requires physical infrastructure (pressure vessels, membrane systems, pumps, filtration media) that software cannot replace. Competitive moats are built on physical manufacturing capability, brand reputation with installers and contractors, and distribution network depth. AI may increase demand for Pentair's products as data centers require massive water cooling solutions, and smart building technology drives connected water management systems. Regulatory requirements around water quality standards add further protection. The pool destocking issue is a distribution/inventory problem, not an AI disruption risk. AI Opportunity (0/1): Pentair is investing in AI through the Chief Strategy, Innovation and Digital Officer role and Pool Brain connected technology, but no quantifiable AI revenue has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Pentair Q1 2026 Results — Sales $1,036.7M, adjusted EPS $1.22 (+10% YoY), originally raised FY2026 guidance to $4.83-$4.93 EPS, April 2026</w:t>
      </w:r>
    </w:p>
    <w:p>
      <w:pPr>
        <w:spacing w:before="20" w:after="20"/>
        <w:ind w:left="170"/>
      </w:pPr>
      <w:r>
        <w:rPr>
          <w:rFonts w:ascii="Calibri" w:hAnsi="Calibri"/>
          <w:b/>
          <w:color w:val="4A6B25"/>
          <w:sz w:val="15"/>
        </w:rPr>
        <w:t xml:space="preserve">2. </w:t>
      </w:r>
      <w:r>
        <w:rPr>
          <w:rFonts w:ascii="Calibri" w:hAnsi="Calibri"/>
          <w:b w:val="0"/>
          <w:color w:val="3A4A28"/>
          <w:sz w:val="17"/>
        </w:rPr>
        <w:t>Pentair Q2 2026 Preliminary Results and Guidance Cut — Pool destocking ($170M sales decline, $105M income impact), FY2026 revised to -4% to -7% sales decline, CFO Brazis resignation after 4 months, securities fraud investigations, stock hit 52-week low $57.60, July 2026</w:t>
      </w:r>
    </w:p>
    <w:p>
      <w:pPr>
        <w:spacing w:before="20" w:after="20"/>
        <w:ind w:left="170"/>
      </w:pPr>
      <w:r>
        <w:rPr>
          <w:rFonts w:ascii="Calibri" w:hAnsi="Calibri"/>
          <w:b/>
          <w:color w:val="4A6B25"/>
          <w:sz w:val="15"/>
        </w:rPr>
        <w:t xml:space="preserve">3. </w:t>
      </w:r>
      <w:r>
        <w:rPr>
          <w:rFonts w:ascii="Calibri" w:hAnsi="Calibri"/>
          <w:b w:val="0"/>
          <w:color w:val="3A4A28"/>
          <w:sz w:val="17"/>
        </w:rPr>
        <w:t>Pentair Executive Leadership Restructuring — Adrian Chiu as EVP Chief Strategy Innovation and Digital Officer, CTO Rolchigo departed after 20 years, CTO role eliminated, Pool Brain integration, February 2026</w:t>
      </w:r>
    </w:p>
    <w:p>
      <w:pPr>
        <w:spacing w:before="20" w:after="20"/>
        <w:ind w:left="170"/>
      </w:pPr>
      <w:r>
        <w:rPr>
          <w:rFonts w:ascii="Calibri" w:hAnsi="Calibri"/>
          <w:b/>
          <w:color w:val="4A6B25"/>
          <w:sz w:val="15"/>
        </w:rPr>
        <w:t xml:space="preserve">4. </w:t>
      </w:r>
      <w:r>
        <w:rPr>
          <w:rFonts w:ascii="Calibri" w:hAnsi="Calibri"/>
          <w:b w:val="0"/>
          <w:color w:val="3A4A28"/>
          <w:sz w:val="17"/>
        </w:rPr>
        <w:t>Pentair 2025 Sustainability Report — Water Grants $1.15M to 9 organizations, exceeded 2030 GHG target (-51.3%) and water target (-32.8%), MSCI AAA ESG, IBD 50 Most Sustainable Companies, March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PNR financial data, stock price $62.88, forward P/E 13.18, PEG 1.46, D/E 55%, ROE 17.61%, 50yr dividend growth, avg volume 3.2M, retrieved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