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PNW</w:t>
      </w:r>
      <w:r>
        <w:rPr>
          <w:rFonts w:ascii="Calibri" w:hAnsi="Calibri"/>
          <w:b/>
          <w:color w:val="1A2010"/>
          <w:sz w:val="40"/>
        </w:rPr>
        <w:t xml:space="preserve">  Pinnacle West Capital Corporation</w:t>
      </w:r>
    </w:p>
    <w:p>
      <w:pPr>
        <w:spacing w:after="120"/>
      </w:pPr>
      <w:r>
        <w:rPr>
          <w:rFonts w:ascii="Calibri" w:hAnsi="Calibri"/>
          <w:b/>
          <w:color w:val="6E8450"/>
          <w:sz w:val="18"/>
        </w:rPr>
        <w:t>DIVIDEND SLEEVE · 2026-08-03 · Inspire: 39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NYSE · United States</w:t>
      </w:r>
    </w:p>
    <w:p>
      <w:pPr>
        <w:spacing w:after="80"/>
      </w:pPr>
      <w:r>
        <w:rPr>
          <w:rFonts w:ascii="Calibri" w:hAnsi="Calibri"/>
          <w:b w:val="0"/>
          <w:color w:val="3A4A28"/>
          <w:sz w:val="20"/>
        </w:rPr>
        <w:t>Pinnacle West Capital Corporation, through its subsidiary Arizona Public Service Company (APS), provides retail and wholesale electric services in Arizona. The company generates, transmits, and distributes electricity using nuclear, natural gas, solar, and battery storage facilities, serving approximately 1.4 million customers in one of the fastest-growing U.S. service territories. APS operates the Palo Verde Nuclear Generating Station, the nation's largest nuclear plant.</w:t>
      </w:r>
    </w:p>
    <w:p>
      <w:r>
        <w:rPr>
          <w:rFonts w:ascii="Calibri" w:hAnsi="Calibri"/>
          <w:b/>
          <w:color w:val="6E8450"/>
          <w:sz w:val="18"/>
        </w:rPr>
        <w:t>6,610 Employees · https://www.pinnaclewest.com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APS has invested in grid modernization, solar and battery storage expansion, and operates Palo Verde Nuclear Generating Station (the nation's largest nuclear plant), but these are evolutionary rather than transformative within the regulated utility model [1]. Raised long-term sales growth target to 5-7% from 4-6% in Q1 2026 reflecting accelerating Arizona demand. AI Deployment (1/2): Leadership has embraced AI for grid management, customer service, and operational optimization, stating AI will 'sharpen decisions and find new opportunities to deliver better service at lower costs,' though quantified AI-driven savings have not been publicly reported [2]. Market Share (1/2): APS is the dominant electric utility in Arizona, serving ~1.4M customers with 31,032 new customer additions in Q1 2026 alone (2.2% growth), though this is a regulated monopoly position rather than competitively earned share [1]. Product Pipeline (1/2): $10.35B capital plan through 2028, including up to 2 GW new gas-fired capacity, 600+ miles of 345kV+ transmission lines, and $6B+ cumulative transmission investment through 2035 [1]. R&amp;D Intensity (0/1): Minimal R&amp;D spending relative to revenue, typical for regulated utilities that invest in infrastructure rather than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Pinnacle West articulates its purpose around powering Arizona's growth with clean, reliable, and affordable energy — clear and specific to the region it serves but not distinctive enough to inspire beyond operational execution [3]. Community Impact (1/2): APS Foundation supports education, workforce development, and community needs in Arizona; 20% of executive compensation is tied to Clean Energy Commitment performance (clean megawatts installed), demonstrating structural commitment to community-aligned outcomes [3][6]. Employee Retention (1/2): Glassdoor ratings of 4.1/5 with 82% recommending the employer and 4.1 for culture and values suggest above-average trust for the industry [4]. CEO Ted Geisler's 23-year career at APS demonstrates institutional commitment and internal talent development. Cultural framework 'The APS Promise' signals intentional culture building. Insider Buying (0/2): No evidence of meaningful net insider buying by executives in recent periods; the company has been issuing equity ($650M YTD in at-the-market + block forwards) to fund its capital plan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operating revenue of $1.15B (up 11.3% YoY) with weather-normalized retail sales growth of 7.4%, driven by a 14.6% surge in commercial and industrial demand from data center loads [1]. D/E of 155% (improved from 202% via equity issuance) scores 0.63, still elevated but improved through deliberate capital structure management. ROE of 9.56% (score 0.64) is below target but typical for regulated utilities with capped returns. Forward P/E of 18.07 and revenue growth of 11.3% both score at or near 1.0. Profit margin of 11.99% (score 0.60) is moderate. Dividend paid 38 consecutive years (2x weight, score 1.0) with 14 consecutive years of growth, but 5yr dividend CAGR of only 1.9% (2x weight, score 0.32) barely exceeds inflation. Payout ratio of 68.45% (score 0.53) is sustainable but limits dividend acceleration. Weighted sum 8.85/12 = 7.4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Pinnacle West possesses inherent infinite game characteristics — multi-decade infrastructure investments, 38-year consecutive dividend payment history, and CEO Geisler's 23-year internal career exemplifying institutional continuity. However, the company has faced criticism for lacking ambitious decarbonization goals relative to peers, and the misleading Paris Agreement claims suggest finite-game behavior around ESG optics. The regulated monopoly structure enables long-term planning but also reduces the competitive pressure that drives infinite game evolution.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Pinnacle West's purpose of powering Arizona's growth with clean, reliable, affordable energy is genuine and connects the company's work to community benefit [3]. However, this describes what any regulated utility does rather than a Just Cause that inspires sacrifice. It does not articulate a vision of a future state that does not yet exist — it describes the ongoing delivery of an essential service. The clean energy commitment (65% clean by 2030, carbon-free by 2050) adds aspirational direction but is industry-standard.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APS's Glassdoor rating of 4.1/5 with 82% recommendation rate and positive comments about cultural improvement suggest adequate organizational trust [4]. CEO Geisler's 23-year internal career and the orderly succession from Guldner demonstrate that people build careers at APS. The 'APS Promise' cultural framework signals intentional investment in organizational culture. However, some employees describe the company as 'extremely slow to accept change' with leadership 'focused on their own survival and retirement.'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Pinnacle West engages with competitive dynamics through industry benchmarking on reliability, safety, and clean energy metrics. The company's Integrated Resource Plan process involves comparing its approach to peers and responding to stakeholder criticism — including the ESG controversy around Paris Agreement claims — which demonstrates willingness to engage with external pressure for improvement rather than dismiss it [6].</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Pinnacle West has operated the same fundamental business model — regulated electric generation, transmission, and distribution in Arizona — for over 40 years with no transformative strategic pivot [1]. While the generation mix has evolved (adding solar, maintaining nuclear, proposing new gas), this is incremental adaptation within the same regulated framework. The criticism that APS has not established decarbonization goals for 2030, unlike most peer utilities, suggests rigidity in adapting to the energy transition [6].</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Pinnacle West has maintained investment in the Palo Verde Nuclear Generating Station through periods when nuclear was politically unpopular, demonstrating commitment to carbon-free baseload [1]. The $10.35B capital plan through 2028 and $6B+ transmission investment through 2035 represent substantial long-term bets. However, the lack of 2030 decarbonization targets and proposed natural gas expansion suggest management prioritizes near-term reliability over clean energy leadership [6]. The $694M rate case request (14.75% bill impact) shows willingness to seek adequate returns but may generate customer pushback.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Pinnacle West offers a stable 3.6% dividend yield backed by 38 consecutive years of payment, a regulated monopoly in one of America's fastest-growing states, and a structural demand tailwind from AI data center buildout. Q1 2026 validated the growth thesis — operating revenue surged 11.3% to $1.15B with 14.6% C&amp;I demand growth and 31,032 new customer additions [1]. Management raised the long-term sales growth target to 5-7% through 2030 and guided to $4.55-$4.75 FY2026 EPS with 5-7% annual EPS growth off the 2024 midpoint [1][5]. The $10.35B capital plan through 2028 targets 7-9% rate base CAGR to $15.7B, and $6B+ in transmission investment through 2035 creates a multi-decade earnings growth runway. Low beta of 0.48 provides portfolio stability.</w:t>
      </w:r>
    </w:p>
    <w:p>
      <w:pPr>
        <w:spacing w:after="120"/>
      </w:pPr>
      <w:r>
        <w:rPr>
          <w:rFonts w:ascii="Calibri" w:hAnsi="Calibri"/>
          <w:b w:val="0"/>
          <w:color w:val="3A4A28"/>
          <w:sz w:val="20"/>
        </w:rPr>
        <w:t>The bear case centers on regulatory and financing risk. The pending rate case — a $694M revenue increase request representing a 14.75% bill impact — faces Arizona Corporation Commission review with a Q4 2026 decision that could disappoint [1]. D/E of 155% reflects significant leverage, and the company generates negative free cash flow as capital expenditures consistently exceed operating cash flow. Pinnacle West has issued $650M in equity YTD and plans $1.0-1.2B more through 2028, creating dilution pressure [1]. The 5yr dividend growth CAGR of only 1.9% barely keeps pace with inflation, offering minimal real income growth despite the 68.5% payout ratio. The ESG controversy over misleading Paris Agreement claims and lack of 2030 decarbonization targets could alienate ESG-focused institutional investors [6]. Water scarcity in Arizona remains a long-term constraint on generation capacity expansion.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demand driving accelerated load growth in Arizona — Q1 2026 C&amp;I demand surged 14.6%, potentially pushing growth above the raised 5-7% guidance range through 2030 [1]</w:t>
      </w:r>
    </w:p>
    <w:p>
      <w:pPr>
        <w:spacing w:before="40" w:after="40"/>
        <w:ind w:left="283"/>
      </w:pPr>
      <w:r>
        <w:rPr>
          <w:rFonts w:ascii="Calibri" w:hAnsi="Calibri"/>
          <w:b/>
          <w:color w:val="4A6B25"/>
          <w:sz w:val="20"/>
        </w:rPr>
        <w:t xml:space="preserve">2. </w:t>
      </w:r>
      <w:r>
        <w:rPr>
          <w:rFonts w:ascii="Calibri" w:hAnsi="Calibri"/>
          <w:b w:val="0"/>
          <w:color w:val="3A4A28"/>
          <w:sz w:val="20"/>
        </w:rPr>
        <w:t>Favorable rate case outcome from the Arizona Corporation Commission in Q4 2026, supporting recovery of $10.35B infrastructure investment and the requested 10.70% ROE [1]</w:t>
      </w:r>
    </w:p>
    <w:p>
      <w:pPr>
        <w:spacing w:before="40" w:after="40"/>
        <w:ind w:left="283"/>
      </w:pPr>
      <w:r>
        <w:rPr>
          <w:rFonts w:ascii="Calibri" w:hAnsi="Calibri"/>
          <w:b/>
          <w:color w:val="4A6B25"/>
          <w:sz w:val="20"/>
        </w:rPr>
        <w:t xml:space="preserve">3. </w:t>
      </w:r>
      <w:r>
        <w:rPr>
          <w:rFonts w:ascii="Calibri" w:hAnsi="Calibri"/>
          <w:b w:val="0"/>
          <w:color w:val="3A4A28"/>
          <w:sz w:val="20"/>
        </w:rPr>
        <w:t>Nuclear power renaissance benefiting Palo Verde — the nation's largest carbon-free power plant — as policymakers and data center operators prioritize clean baseload generation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Regulatory risk from the ACC denying or significantly reducing the $694M rate case request (14.75% bill impact), which could compress earned ROE below authorized levels and pressure earnings guidance [1]</w:t>
      </w:r>
    </w:p>
    <w:p>
      <w:pPr>
        <w:spacing w:before="40" w:after="40"/>
        <w:ind w:left="283"/>
      </w:pPr>
      <w:r>
        <w:rPr>
          <w:rFonts w:ascii="Calibri" w:hAnsi="Calibri"/>
          <w:b/>
          <w:color w:val="4A6B25"/>
          <w:sz w:val="20"/>
        </w:rPr>
        <w:t xml:space="preserve">2. </w:t>
      </w:r>
      <w:r>
        <w:rPr>
          <w:rFonts w:ascii="Calibri" w:hAnsi="Calibri"/>
          <w:b w:val="0"/>
          <w:color w:val="3A4A28"/>
          <w:sz w:val="20"/>
        </w:rPr>
        <w:t>Equity dilution from $1.0-1.2B planned issuances through 2028, combined with $2.6-2.9B in APS debt, increasing financing costs and potentially pressuring dividend coverage [1]</w:t>
      </w:r>
    </w:p>
    <w:p>
      <w:pPr>
        <w:spacing w:before="40" w:after="40"/>
        <w:ind w:left="283"/>
      </w:pPr>
      <w:r>
        <w:rPr>
          <w:rFonts w:ascii="Calibri" w:hAnsi="Calibri"/>
          <w:b/>
          <w:color w:val="4A6B25"/>
          <w:sz w:val="20"/>
        </w:rPr>
        <w:t xml:space="preserve">3. </w:t>
      </w:r>
      <w:r>
        <w:rPr>
          <w:rFonts w:ascii="Calibri" w:hAnsi="Calibri"/>
          <w:b w:val="0"/>
          <w:color w:val="3A4A28"/>
          <w:sz w:val="20"/>
        </w:rPr>
        <w:t>Water scarcity in Arizona constraining future generation capacity expansion and increasing cooling costs, with climate change intensifying drought conditions in the Southwest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Pinnacle West/APS operates essential physical infrastructure — power plants, transmission lines, distribution networks — that AI structurally cannot displace [1]. Regulated electric utilities are the ultimate AI beneficiary: AI data centers are the fastest-growing source of electricity demand, and APS's Arizona territory is a prime data center location due to available land, grid capacity, and favorable climate. Q1 2026 results validate this thesis — commercial/industrial demand surged 14.6%, and management raised the long-term sales growth target to 5-7% through 2030, driven substantially by data center load additions [1]. The regulated monopoly structure provides additional insulation — customers cannot switch providers, and rate cases ensure cost recovery. No analysts flag AI disruption as a risk; consensus is that AI is a strong structural tailwind. AI Opportunity (0/1): PNW does not generate revenue from AI products or services; it benefits from AI-driven electricity demand but is a consumer of AI for internal operations, not a provider.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Pinnacle West Q1 2026 Earnings Release, Investor Presentation, and 2026 Guidance — May 2026</w:t>
      </w:r>
    </w:p>
    <w:p>
      <w:pPr>
        <w:spacing w:before="20" w:after="20"/>
        <w:ind w:left="170"/>
      </w:pPr>
      <w:r>
        <w:rPr>
          <w:rFonts w:ascii="Calibri" w:hAnsi="Calibri"/>
          <w:b/>
          <w:color w:val="4A6B25"/>
          <w:sz w:val="15"/>
        </w:rPr>
        <w:t xml:space="preserve">2. </w:t>
      </w:r>
      <w:r>
        <w:rPr>
          <w:rFonts w:ascii="Calibri" w:hAnsi="Calibri"/>
          <w:b w:val="0"/>
          <w:color w:val="3A4A28"/>
          <w:sz w:val="17"/>
        </w:rPr>
        <w:t>Pinnacle West / APS AI and Digital Transformation Strategy, leadership commentary 2025-2026</w:t>
      </w:r>
    </w:p>
    <w:p>
      <w:pPr>
        <w:spacing w:before="20" w:after="20"/>
        <w:ind w:left="170"/>
      </w:pPr>
      <w:r>
        <w:rPr>
          <w:rFonts w:ascii="Calibri" w:hAnsi="Calibri"/>
          <w:b/>
          <w:color w:val="4A6B25"/>
          <w:sz w:val="15"/>
        </w:rPr>
        <w:t xml:space="preserve">3. </w:t>
      </w:r>
      <w:r>
        <w:rPr>
          <w:rFonts w:ascii="Calibri" w:hAnsi="Calibri"/>
          <w:b w:val="0"/>
          <w:color w:val="3A4A28"/>
          <w:sz w:val="17"/>
        </w:rPr>
        <w:t>Pinnacle West Capital corporate website — pinnaclewest.com, mission and corporate responsibility,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Glassdoor — Arizona Public Service Company employee reviews (481 reviews), accessed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PNW key statistics and dividend history,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Energy and Policy Institute — Pinnacle West ESG and Paris Agreement claims analysis, 2024</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